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32553" w14:textId="22F941BB" w:rsidR="00E10BE1" w:rsidRPr="008B6535" w:rsidRDefault="00000133" w:rsidP="008B6535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53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 </w:t>
      </w:r>
      <w:r w:rsidR="008B6535" w:rsidRPr="008B6535">
        <w:rPr>
          <w:rFonts w:ascii="Times New Roman" w:hAnsi="Times New Roman" w:cs="Times New Roman"/>
          <w:b/>
          <w:sz w:val="28"/>
          <w:szCs w:val="28"/>
          <w:lang w:eastAsia="ru-RU"/>
        </w:rPr>
        <w:t>Характеристика</w:t>
      </w:r>
      <w:bookmarkStart w:id="0" w:name="_GoBack"/>
      <w:bookmarkEnd w:id="0"/>
      <w:r w:rsidR="006023B8" w:rsidRPr="008B653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023B8" w:rsidRPr="008B653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международных организаций в сфере управления информационной безопасностью</w:t>
      </w:r>
    </w:p>
    <w:p w14:paraId="2CDBA081" w14:textId="2DD02969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В числе международных организаций, действующих в сфере</w:t>
      </w:r>
      <w:r w:rsidR="008B6535" w:rsidRPr="008B6535">
        <w:rPr>
          <w:rFonts w:ascii="Times New Roman" w:hAnsi="Times New Roman"/>
          <w:sz w:val="28"/>
          <w:szCs w:val="28"/>
        </w:rPr>
        <w:t xml:space="preserve"> управления</w:t>
      </w:r>
      <w:r w:rsidRPr="008B6535">
        <w:rPr>
          <w:rFonts w:ascii="Times New Roman" w:hAnsi="Times New Roman"/>
          <w:sz w:val="28"/>
          <w:szCs w:val="28"/>
        </w:rPr>
        <w:t xml:space="preserve"> информационной безопасност</w:t>
      </w:r>
      <w:r w:rsidR="008B6535" w:rsidRPr="008B6535">
        <w:rPr>
          <w:rFonts w:ascii="Times New Roman" w:hAnsi="Times New Roman"/>
          <w:sz w:val="28"/>
          <w:szCs w:val="28"/>
        </w:rPr>
        <w:t>ью</w:t>
      </w:r>
      <w:r w:rsidRPr="008B6535">
        <w:rPr>
          <w:rFonts w:ascii="Times New Roman" w:hAnsi="Times New Roman"/>
          <w:sz w:val="28"/>
          <w:szCs w:val="28"/>
        </w:rPr>
        <w:t xml:space="preserve"> и оказывающих существенное влияние на функционирование глобальных информационных систем и деятельность всего информационного сообщества, выделяются организации следующих типов.</w:t>
      </w:r>
    </w:p>
    <w:p w14:paraId="00A951AB" w14:textId="44B5AE4A" w:rsidR="006023B8" w:rsidRPr="008B6535" w:rsidRDefault="006023B8" w:rsidP="008B6535">
      <w:pPr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 xml:space="preserve">Крупные международные некоммерческие и неправительственные организации, объединяющие специалистов в определенных областях, существующие, как правило, уже в течение многих лет и охватывающие множество основных направлений развития компьютерной инженерии, электроники и телекоммуникаций, </w:t>
      </w:r>
      <w:r w:rsidR="00DE7459" w:rsidRPr="008B6535">
        <w:rPr>
          <w:rFonts w:ascii="Times New Roman" w:hAnsi="Times New Roman" w:cs="Times New Roman"/>
          <w:color w:val="000000"/>
          <w:sz w:val="28"/>
          <w:szCs w:val="28"/>
        </w:rPr>
        <w:t>включая,</w:t>
      </w:r>
      <w:r w:rsidRPr="008B6535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и определенные вопросы обеспечения безопасности современных информационных технологий.</w:t>
      </w:r>
    </w:p>
    <w:p w14:paraId="7AAEABF3" w14:textId="08EC351D" w:rsidR="006023B8" w:rsidRPr="008B6535" w:rsidRDefault="006023B8" w:rsidP="008B6535">
      <w:pPr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Отдельные относительно небольшие организации, которые специализируются на более или менее узких вопросах информационной безопасности, имеющих глобальное значение для всего сообщества пользователей информационных систем, и появились на базе частных компаний или исследовательских структур в течение последнего десятилетия, когда проблемы информационной безопасности стали особенно актуальными.</w:t>
      </w:r>
    </w:p>
    <w:p w14:paraId="1A0792E3" w14:textId="77777777" w:rsidR="006023B8" w:rsidRPr="008B6535" w:rsidRDefault="006023B8" w:rsidP="008B6535">
      <w:pPr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 xml:space="preserve">Совместные структуры (комитеты, альянсы </w:t>
      </w:r>
      <w:r w:rsidR="00F845B4" w:rsidRPr="008B6535">
        <w:rPr>
          <w:rFonts w:ascii="Times New Roman" w:hAnsi="Times New Roman" w:cs="Times New Roman"/>
          <w:color w:val="000000"/>
          <w:sz w:val="28"/>
          <w:szCs w:val="28"/>
        </w:rPr>
        <w:t>и др.</w:t>
      </w:r>
      <w:r w:rsidRPr="008B6535">
        <w:rPr>
          <w:rFonts w:ascii="Times New Roman" w:hAnsi="Times New Roman" w:cs="Times New Roman"/>
          <w:color w:val="000000"/>
          <w:sz w:val="28"/>
          <w:szCs w:val="28"/>
        </w:rPr>
        <w:t>), создаваемые (иногда временно) крупными компаниями (иногда при участии крупных исследовательских центров, учебных заведений и правительственных структур) для решения определенных задач в сфере информационных технологий и информационной безопасности.</w:t>
      </w:r>
    </w:p>
    <w:p w14:paraId="2F9AD0A1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 xml:space="preserve">Каждый из </w:t>
      </w:r>
      <w:r w:rsidR="00F845B4" w:rsidRPr="008B6535">
        <w:rPr>
          <w:rFonts w:ascii="Times New Roman" w:hAnsi="Times New Roman"/>
          <w:sz w:val="28"/>
          <w:szCs w:val="28"/>
        </w:rPr>
        <w:t>типов организаций</w:t>
      </w:r>
      <w:r w:rsidRPr="008B6535">
        <w:rPr>
          <w:rFonts w:ascii="Times New Roman" w:hAnsi="Times New Roman"/>
          <w:sz w:val="28"/>
          <w:szCs w:val="28"/>
        </w:rPr>
        <w:t xml:space="preserve">, в свою очередь, имеет свои специфические организационные особенности, однако все они, как правило, </w:t>
      </w:r>
      <w:r w:rsidRPr="008B6535">
        <w:rPr>
          <w:rFonts w:ascii="Times New Roman" w:hAnsi="Times New Roman"/>
          <w:sz w:val="28"/>
          <w:szCs w:val="28"/>
        </w:rPr>
        <w:lastRenderedPageBreak/>
        <w:t xml:space="preserve">решают задачу разработки, согласования и дальнейшего </w:t>
      </w:r>
      <w:r w:rsidR="00DE7459" w:rsidRPr="008B6535">
        <w:rPr>
          <w:rFonts w:ascii="Times New Roman" w:hAnsi="Times New Roman"/>
          <w:sz w:val="28"/>
          <w:szCs w:val="28"/>
        </w:rPr>
        <w:t>распространения,</w:t>
      </w:r>
      <w:r w:rsidRPr="008B6535">
        <w:rPr>
          <w:rFonts w:ascii="Times New Roman" w:hAnsi="Times New Roman"/>
          <w:sz w:val="28"/>
          <w:szCs w:val="28"/>
        </w:rPr>
        <w:t xml:space="preserve"> общих для всего сообщества пользователей информационных систем технических и организационных решений, таких как:</w:t>
      </w:r>
    </w:p>
    <w:p w14:paraId="614272DF" w14:textId="68BE400C" w:rsidR="006023B8" w:rsidRPr="008B6535" w:rsidRDefault="006023B8" w:rsidP="008B6535">
      <w:pPr>
        <w:pStyle w:val="ab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протоколы глобальных сетей;</w:t>
      </w:r>
    </w:p>
    <w:p w14:paraId="4D3DD2AA" w14:textId="65ABF422" w:rsidR="006023B8" w:rsidRPr="008B6535" w:rsidRDefault="006023B8" w:rsidP="008B6535">
      <w:pPr>
        <w:pStyle w:val="ab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архитектуры, алгоритмы, протоколы публичных средств шифрования данных;</w:t>
      </w:r>
    </w:p>
    <w:p w14:paraId="57C7B50C" w14:textId="77777777" w:rsidR="006023B8" w:rsidRPr="008B6535" w:rsidRDefault="006023B8" w:rsidP="008B6535">
      <w:pPr>
        <w:pStyle w:val="ab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правила построения глобальных сетей обмена данными и других элементов глобальной инфраструктуры информационной безопасности.</w:t>
      </w:r>
    </w:p>
    <w:p w14:paraId="23797FC7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Также важными элементам организационной работы на уровне международных структур являются:</w:t>
      </w:r>
    </w:p>
    <w:p w14:paraId="0727B6C9" w14:textId="10C1AC26" w:rsidR="006023B8" w:rsidRPr="008B6535" w:rsidRDefault="006023B8" w:rsidP="008B6535">
      <w:pPr>
        <w:pStyle w:val="ab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обмена знаниями и актуальными новостями в среде специалистов по информационной безопасности в таких формах, как публикация специализированных периодических изданий и сборников научных работ, организация специализированных научно-практических конференций, семинаров </w:t>
      </w:r>
      <w:r w:rsidR="00F845B4" w:rsidRPr="008B6535">
        <w:rPr>
          <w:rFonts w:ascii="Times New Roman" w:hAnsi="Times New Roman" w:cs="Times New Roman"/>
          <w:color w:val="000000"/>
          <w:sz w:val="28"/>
          <w:szCs w:val="28"/>
        </w:rPr>
        <w:t>и др.</w:t>
      </w:r>
      <w:r w:rsidRPr="008B65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99BE70F" w14:textId="70F5E194" w:rsidR="00F845B4" w:rsidRPr="008B6535" w:rsidRDefault="006023B8" w:rsidP="008B6535">
      <w:pPr>
        <w:pStyle w:val="ab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организация и поддержание в актуальном состоянии баз данных и баз знаний, которые содержат сведения, необходимые пользователям информационных систем, администраторам, разработчикам и другим участникам для обеспечения информационной безопасности.</w:t>
      </w:r>
    </w:p>
    <w:p w14:paraId="0CFBDA1B" w14:textId="77777777" w:rsidR="006023B8" w:rsidRPr="008B6535" w:rsidRDefault="006023B8" w:rsidP="008B6535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Примерами таких баз данных являются базы данных, содержащие сведения о выявленных уязвимостях различных программных и аппаратных платформ информационных систем.</w:t>
      </w:r>
    </w:p>
    <w:p w14:paraId="34EB055E" w14:textId="394E0322" w:rsidR="009F7CD5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В целом организационная работа на уровне международных структур не является универсальной, и в большинстве случаев они строят свою работу самостоятельно. Однако можно выделить некоторые основные организационные принципы, характерные для деятельности многих из них</w:t>
      </w:r>
      <w:r w:rsidR="009F7CD5" w:rsidRPr="008B6535">
        <w:rPr>
          <w:rFonts w:ascii="Times New Roman" w:hAnsi="Times New Roman"/>
          <w:sz w:val="28"/>
          <w:szCs w:val="28"/>
        </w:rPr>
        <w:t>:</w:t>
      </w:r>
    </w:p>
    <w:p w14:paraId="00DB0A3E" w14:textId="77777777" w:rsidR="009F7CD5" w:rsidRPr="008B6535" w:rsidRDefault="009F7CD5" w:rsidP="008B6535">
      <w:pPr>
        <w:tabs>
          <w:tab w:val="left" w:pos="1134"/>
        </w:tabs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535">
        <w:rPr>
          <w:rFonts w:ascii="Times New Roman" w:hAnsi="Times New Roman"/>
          <w:sz w:val="28"/>
          <w:szCs w:val="28"/>
        </w:rPr>
        <w:br w:type="page"/>
      </w:r>
    </w:p>
    <w:p w14:paraId="3739AC88" w14:textId="785DE20B" w:rsidR="006023B8" w:rsidRPr="008B6535" w:rsidRDefault="006023B8" w:rsidP="008B6535">
      <w:pPr>
        <w:pStyle w:val="ab"/>
        <w:numPr>
          <w:ilvl w:val="0"/>
          <w:numId w:val="4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Принцип добровольности участия в работе таких структур и в отдельных проектах или во всей работе.</w:t>
      </w:r>
    </w:p>
    <w:p w14:paraId="3A9CBEE3" w14:textId="4A67539F" w:rsidR="006023B8" w:rsidRPr="008B6535" w:rsidRDefault="006023B8" w:rsidP="008B6535">
      <w:pPr>
        <w:pStyle w:val="ab"/>
        <w:numPr>
          <w:ilvl w:val="0"/>
          <w:numId w:val="4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Принцип открытости (доступности) результатов работы (всех или их части) для сообщества специалистов в сфере информационных технологий.</w:t>
      </w:r>
    </w:p>
    <w:p w14:paraId="2A53F05E" w14:textId="77777777" w:rsidR="006023B8" w:rsidRPr="008B6535" w:rsidRDefault="006023B8" w:rsidP="008B6535">
      <w:pPr>
        <w:pStyle w:val="ab"/>
        <w:numPr>
          <w:ilvl w:val="0"/>
          <w:numId w:val="4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Принцип самофинансирования.</w:t>
      </w:r>
    </w:p>
    <w:p w14:paraId="7139212F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Работа крупных международных профессиональных (отраслевых) организаций (объединений), как правило, имеет след</w:t>
      </w:r>
      <w:r w:rsidR="00F845B4" w:rsidRPr="008B6535">
        <w:rPr>
          <w:rFonts w:ascii="Times New Roman" w:hAnsi="Times New Roman"/>
          <w:sz w:val="28"/>
          <w:szCs w:val="28"/>
        </w:rPr>
        <w:t>ующие отличительные особенности:</w:t>
      </w:r>
    </w:p>
    <w:p w14:paraId="37BAFC83" w14:textId="78FFD366" w:rsidR="006023B8" w:rsidRPr="008B6535" w:rsidRDefault="006023B8" w:rsidP="008B6535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 xml:space="preserve">Она, как правило, не направлена только на решение задач информационной безопасности – задачи информационной безопасности решаются в комплексе со множеством других проблем (развития информационных технологий, построения телекоммуникационных систем </w:t>
      </w:r>
      <w:r w:rsidR="00F845B4" w:rsidRPr="008B6535">
        <w:rPr>
          <w:rFonts w:ascii="Times New Roman" w:hAnsi="Times New Roman" w:cs="Times New Roman"/>
          <w:color w:val="000000"/>
          <w:sz w:val="28"/>
          <w:szCs w:val="28"/>
        </w:rPr>
        <w:t>и др.</w:t>
      </w:r>
      <w:r w:rsidRPr="008B6535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1B7611EC" w14:textId="095DEBB1" w:rsidR="006023B8" w:rsidRPr="008B6535" w:rsidRDefault="006023B8" w:rsidP="008B6535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Она в определенной мере может опираться на поддержку со стороны различных государственных структур.</w:t>
      </w:r>
    </w:p>
    <w:p w14:paraId="1B9A4688" w14:textId="17BEB868" w:rsidR="006023B8" w:rsidRPr="008B6535" w:rsidRDefault="006023B8" w:rsidP="008B6535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Она объединяет большое количество специалистов из различных исследовательских, учебных, коммерческих организаций, но при этом большинство участников (членов) может не иметь конкретных обязательств, обязывающих вносить вклад в работу и достигать определенных целей.</w:t>
      </w:r>
    </w:p>
    <w:p w14:paraId="0AB52CCD" w14:textId="507BEFF2" w:rsidR="00C5119B" w:rsidRPr="008B6535" w:rsidRDefault="00C5119B" w:rsidP="008B6535">
      <w:pPr>
        <w:pStyle w:val="ab"/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2 Международные </w:t>
      </w:r>
      <w:r w:rsidR="008B6535" w:rsidRPr="008B653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профессиональные объединения</w:t>
      </w:r>
      <w:r w:rsidRPr="008B653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управления информационной безопасностью</w:t>
      </w:r>
    </w:p>
    <w:p w14:paraId="089080F0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Основными наиболее крупными и известными международными профессиональными объединениями, так или иначе связанными с вопросами информационной безопасности, являются:</w:t>
      </w:r>
    </w:p>
    <w:p w14:paraId="2AAF2D23" w14:textId="73278DAF" w:rsidR="006023B8" w:rsidRPr="008B6535" w:rsidRDefault="006023B8" w:rsidP="008B6535">
      <w:pPr>
        <w:pStyle w:val="ab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ITU – International Telecommunication Union;</w:t>
      </w:r>
    </w:p>
    <w:p w14:paraId="1D63692A" w14:textId="4F736F1B" w:rsidR="006023B8" w:rsidRPr="008B6535" w:rsidRDefault="006023B8" w:rsidP="008B6535">
      <w:pPr>
        <w:pStyle w:val="ab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  <w:lang w:val="en-US"/>
        </w:rPr>
        <w:t>IEEE – Institute of Electrical and Electronics Engineers;</w:t>
      </w:r>
    </w:p>
    <w:p w14:paraId="09C634BF" w14:textId="5D3B1138" w:rsidR="006023B8" w:rsidRPr="008B6535" w:rsidRDefault="006023B8" w:rsidP="008B6535">
      <w:pPr>
        <w:pStyle w:val="ab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  <w:lang w:val="en-US"/>
        </w:rPr>
        <w:t>ACM – Association for Computing Machinery;</w:t>
      </w:r>
    </w:p>
    <w:p w14:paraId="13E2379D" w14:textId="1A7A3474" w:rsidR="006023B8" w:rsidRPr="008B6535" w:rsidRDefault="006023B8" w:rsidP="008B6535">
      <w:pPr>
        <w:pStyle w:val="ab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lastRenderedPageBreak/>
        <w:t>W3 Consortium;</w:t>
      </w:r>
    </w:p>
    <w:p w14:paraId="687C4CA9" w14:textId="3E106B55" w:rsidR="006023B8" w:rsidRPr="008B6535" w:rsidRDefault="006023B8" w:rsidP="008B6535">
      <w:pPr>
        <w:pStyle w:val="ab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  <w:lang w:val="en-US"/>
        </w:rPr>
        <w:t>ISSA – Information Systems Security Association;</w:t>
      </w:r>
    </w:p>
    <w:p w14:paraId="0395EC4E" w14:textId="597D67F5" w:rsidR="006023B8" w:rsidRPr="008B6535" w:rsidRDefault="006023B8" w:rsidP="008B6535">
      <w:pPr>
        <w:pStyle w:val="ab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  <w:lang w:val="en-US"/>
        </w:rPr>
        <w:t>ISO – International Organization for Standardization;</w:t>
      </w:r>
    </w:p>
    <w:p w14:paraId="299717F2" w14:textId="3B09F925" w:rsidR="006023B8" w:rsidRPr="008B6535" w:rsidRDefault="006023B8" w:rsidP="008B6535">
      <w:pPr>
        <w:pStyle w:val="ab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  <w:lang w:val="en-US"/>
        </w:rPr>
        <w:t>IETF – Internet Engineering Task Force;</w:t>
      </w:r>
    </w:p>
    <w:p w14:paraId="247E6DD1" w14:textId="08A7E3CD" w:rsidR="006023B8" w:rsidRPr="008B6535" w:rsidRDefault="006023B8" w:rsidP="008B6535">
      <w:pPr>
        <w:pStyle w:val="ab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  <w:lang w:val="en-US"/>
        </w:rPr>
        <w:t>ICSA – International Computer Security Association;</w:t>
      </w:r>
    </w:p>
    <w:p w14:paraId="2147A8AB" w14:textId="2BDADD68" w:rsidR="006023B8" w:rsidRPr="008B6535" w:rsidRDefault="006023B8" w:rsidP="008B6535">
      <w:pPr>
        <w:pStyle w:val="ab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  <w:lang w:val="en-US"/>
        </w:rPr>
        <w:t>Information Systems Audit and Control Association (ISACA);</w:t>
      </w:r>
    </w:p>
    <w:p w14:paraId="551E755F" w14:textId="77777777" w:rsidR="006023B8" w:rsidRPr="008B6535" w:rsidRDefault="006023B8" w:rsidP="008B6535">
      <w:pPr>
        <w:pStyle w:val="ab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Internet Security Alliance.</w:t>
      </w:r>
    </w:p>
    <w:p w14:paraId="452698FE" w14:textId="20CFF102" w:rsidR="00C5119B" w:rsidRPr="008B6535" w:rsidRDefault="00C5119B" w:rsidP="008B6535">
      <w:pPr>
        <w:pStyle w:val="4"/>
        <w:tabs>
          <w:tab w:val="left" w:pos="1134"/>
        </w:tabs>
        <w:spacing w:before="0" w:after="0" w:line="360" w:lineRule="auto"/>
        <w:ind w:firstLine="709"/>
        <w:jc w:val="both"/>
        <w:rPr>
          <w:bCs w:val="0"/>
          <w:color w:val="000000"/>
        </w:rPr>
      </w:pPr>
      <w:bookmarkStart w:id="1" w:name="_Toc245307594"/>
      <w:r w:rsidRPr="008B6535">
        <w:rPr>
          <w:bCs w:val="0"/>
          <w:color w:val="000000"/>
        </w:rPr>
        <w:t>2. 1 Международный союз электросвязи</w:t>
      </w:r>
    </w:p>
    <w:p w14:paraId="0C89A1C5" w14:textId="6CEC6D36" w:rsidR="00BE66E7" w:rsidRPr="008B6535" w:rsidRDefault="006023B8" w:rsidP="008B6535">
      <w:pPr>
        <w:pStyle w:val="4"/>
        <w:tabs>
          <w:tab w:val="left" w:pos="1134"/>
        </w:tabs>
        <w:spacing w:before="0" w:after="0" w:line="360" w:lineRule="auto"/>
        <w:ind w:firstLine="709"/>
        <w:jc w:val="both"/>
        <w:rPr>
          <w:b w:val="0"/>
        </w:rPr>
      </w:pPr>
      <w:r w:rsidRPr="008B6535">
        <w:rPr>
          <w:b w:val="0"/>
          <w:color w:val="000000"/>
          <w:lang w:val="en-US"/>
        </w:rPr>
        <w:t>International</w:t>
      </w:r>
      <w:r w:rsidRPr="008B6535">
        <w:rPr>
          <w:b w:val="0"/>
          <w:color w:val="000000"/>
        </w:rPr>
        <w:t xml:space="preserve"> </w:t>
      </w:r>
      <w:r w:rsidRPr="008B6535">
        <w:rPr>
          <w:b w:val="0"/>
          <w:color w:val="000000"/>
          <w:lang w:val="en-US"/>
        </w:rPr>
        <w:t>Telecommunication</w:t>
      </w:r>
      <w:r w:rsidRPr="008B6535">
        <w:rPr>
          <w:b w:val="0"/>
          <w:color w:val="000000"/>
        </w:rPr>
        <w:t xml:space="preserve"> </w:t>
      </w:r>
      <w:r w:rsidRPr="008B6535">
        <w:rPr>
          <w:b w:val="0"/>
          <w:color w:val="000000"/>
          <w:lang w:val="en-US"/>
        </w:rPr>
        <w:t>Union</w:t>
      </w:r>
      <w:r w:rsidRPr="008B6535">
        <w:rPr>
          <w:b w:val="0"/>
          <w:color w:val="000000"/>
        </w:rPr>
        <w:t xml:space="preserve"> (</w:t>
      </w:r>
      <w:r w:rsidRPr="008B6535">
        <w:rPr>
          <w:b w:val="0"/>
          <w:color w:val="000000"/>
          <w:lang w:val="en-US"/>
        </w:rPr>
        <w:t>ITU</w:t>
      </w:r>
      <w:r w:rsidRPr="008B6535">
        <w:rPr>
          <w:b w:val="0"/>
          <w:color w:val="000000"/>
        </w:rPr>
        <w:t>) – Международный союз электросвязи</w:t>
      </w:r>
      <w:bookmarkEnd w:id="1"/>
      <w:r w:rsidR="00F845B4" w:rsidRPr="008B6535">
        <w:rPr>
          <w:b w:val="0"/>
          <w:color w:val="000000"/>
        </w:rPr>
        <w:t xml:space="preserve"> </w:t>
      </w:r>
      <w:r w:rsidRPr="008B6535">
        <w:rPr>
          <w:b w:val="0"/>
        </w:rPr>
        <w:t xml:space="preserve">является старейшей международной организацией, связанной с информационными технологиями. Она была основана в 1885 году как Международный телеграфный союз и получила свое новое название в 1934 году. В настоящее время ITU объединяет 189 государств. Как понятно из названия, основной ее задачей изначально было управление и координация деятельности в сфере передачи информации и, в частности, в радиосвязи и телеграфной связи. Однако по мере развития глобальных компьютерных сетей и интеграции компьютерных и телекоммуникационных систем, область деятельности ITU была значительно расширена и в настоящее время включает в себя множество вопросов, связанных с построением компьютерных сетей, передачей цифровых данных, обработкой информации </w:t>
      </w:r>
      <w:r w:rsidR="00F845B4" w:rsidRPr="008B6535">
        <w:rPr>
          <w:b w:val="0"/>
        </w:rPr>
        <w:t>и др.</w:t>
      </w:r>
    </w:p>
    <w:p w14:paraId="170FB765" w14:textId="77777777" w:rsidR="006023B8" w:rsidRPr="008B6535" w:rsidRDefault="006023B8" w:rsidP="008B6535">
      <w:pPr>
        <w:pStyle w:val="4"/>
        <w:tabs>
          <w:tab w:val="left" w:pos="1134"/>
        </w:tabs>
        <w:spacing w:before="0" w:after="0" w:line="360" w:lineRule="auto"/>
        <w:ind w:firstLine="709"/>
        <w:jc w:val="both"/>
      </w:pPr>
      <w:r w:rsidRPr="008B6535">
        <w:rPr>
          <w:b w:val="0"/>
        </w:rPr>
        <w:t>Членами ITU-T являются:</w:t>
      </w:r>
    </w:p>
    <w:p w14:paraId="50FB5357" w14:textId="6F783B8E" w:rsidR="006023B8" w:rsidRPr="008B6535" w:rsidRDefault="006023B8" w:rsidP="008B6535">
      <w:pPr>
        <w:pStyle w:val="ab"/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государственные органы власти (министерства и ведомства связи отдельных стран);</w:t>
      </w:r>
    </w:p>
    <w:p w14:paraId="54B90C8B" w14:textId="16F27B7E" w:rsidR="006023B8" w:rsidRPr="008B6535" w:rsidRDefault="006023B8" w:rsidP="008B6535">
      <w:pPr>
        <w:pStyle w:val="ab"/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научные организации и компании – производители телекоммуникационного оборудования;</w:t>
      </w:r>
    </w:p>
    <w:p w14:paraId="304D3FBB" w14:textId="4BF93681" w:rsidR="00C16127" w:rsidRPr="008B6535" w:rsidRDefault="006023B8" w:rsidP="008B6535">
      <w:pPr>
        <w:pStyle w:val="ab"/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региональные и международные телекоммуникационные организации.</w:t>
      </w:r>
    </w:p>
    <w:p w14:paraId="0C957F53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lastRenderedPageBreak/>
        <w:t>Функциональными органами ITU-T являются:</w:t>
      </w:r>
    </w:p>
    <w:p w14:paraId="5E424581" w14:textId="066C9F86" w:rsidR="006023B8" w:rsidRPr="008B6535" w:rsidRDefault="006023B8" w:rsidP="008B6535">
      <w:pPr>
        <w:pStyle w:val="ab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Всемирная ассамблея по стандартизации телекоммуникаций (World Telecommunication Standardization Assembly), проводимая каждые четыре года, – основной руководящий орган сектора стандартизации;</w:t>
      </w:r>
    </w:p>
    <w:p w14:paraId="2F71421A" w14:textId="103088C3" w:rsidR="006023B8" w:rsidRPr="008B6535" w:rsidRDefault="006023B8" w:rsidP="008B6535">
      <w:pPr>
        <w:pStyle w:val="ab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Бюро по стандартизации телекоммуникаций (Telecommunication Standardization Bureau) – исполнительное подразделение сектора стандартизации;</w:t>
      </w:r>
    </w:p>
    <w:p w14:paraId="2701A9ED" w14:textId="30FB5358" w:rsidR="006023B8" w:rsidRPr="008B6535" w:rsidRDefault="006023B8" w:rsidP="008B6535">
      <w:pPr>
        <w:pStyle w:val="ab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Исследовательские группы (всего их 14);</w:t>
      </w:r>
    </w:p>
    <w:p w14:paraId="05E0B1B5" w14:textId="77777777" w:rsidR="006023B8" w:rsidRPr="008B6535" w:rsidRDefault="006023B8" w:rsidP="008B6535">
      <w:pPr>
        <w:pStyle w:val="ab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Консультативная группа по стандартизации телекоммуникаций (Telecommunication Standardization Advisory Group) – вспомогательное подразделение, осуществляющее координационную работу.</w:t>
      </w:r>
    </w:p>
    <w:p w14:paraId="180E209B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Высшим органом власти Союза является Полномочная Конференция (Plenipotentiary Conference), собрание делегаций государств – членов Союза, проходящее раз в четыре года. Основные исполнительные органы — Совет и Генеральный секретариат ITU. Основные рабочие подразделения разделены на три сектора:</w:t>
      </w:r>
      <w:r w:rsidR="00BE66E7" w:rsidRPr="008B6535">
        <w:rPr>
          <w:rFonts w:ascii="Times New Roman" w:hAnsi="Times New Roman"/>
          <w:sz w:val="28"/>
          <w:szCs w:val="28"/>
        </w:rPr>
        <w:t xml:space="preserve"> </w:t>
      </w:r>
      <w:r w:rsidRPr="008B6535">
        <w:rPr>
          <w:rFonts w:ascii="Times New Roman" w:hAnsi="Times New Roman"/>
          <w:sz w:val="28"/>
          <w:szCs w:val="28"/>
        </w:rPr>
        <w:t>сектор стандартизации связи, ITU-T;</w:t>
      </w:r>
      <w:r w:rsidR="00BE66E7" w:rsidRPr="008B6535">
        <w:rPr>
          <w:rFonts w:ascii="Times New Roman" w:hAnsi="Times New Roman"/>
          <w:sz w:val="28"/>
          <w:szCs w:val="28"/>
        </w:rPr>
        <w:t xml:space="preserve"> </w:t>
      </w:r>
      <w:r w:rsidRPr="008B6535">
        <w:rPr>
          <w:rFonts w:ascii="Times New Roman" w:hAnsi="Times New Roman"/>
          <w:sz w:val="28"/>
          <w:szCs w:val="28"/>
        </w:rPr>
        <w:t xml:space="preserve">сектор радиосвязи, ITU-R; </w:t>
      </w:r>
      <w:r w:rsidR="00BE66E7" w:rsidRPr="008B6535">
        <w:rPr>
          <w:rFonts w:ascii="Times New Roman" w:hAnsi="Times New Roman"/>
          <w:sz w:val="28"/>
          <w:szCs w:val="28"/>
        </w:rPr>
        <w:t xml:space="preserve"> </w:t>
      </w:r>
      <w:r w:rsidRPr="008B6535">
        <w:rPr>
          <w:rFonts w:ascii="Times New Roman" w:hAnsi="Times New Roman"/>
          <w:sz w:val="28"/>
          <w:szCs w:val="28"/>
        </w:rPr>
        <w:t>сектор развития электросвязи ITU-D.</w:t>
      </w:r>
    </w:p>
    <w:p w14:paraId="7105A875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ITU-R и ITU-D выполняют отдельные исследовательские, координационные и технические функции (такие как, например, регистрация радиочастот или координация работы космических телекоммуникационных спутников), тогда как Сектор стандартизации связи – ITU-T в большей степени отвечает за решение стратегических задач развития информационных технологий и инфраструктуры и, в частности, за разработку методик и стандартов, необходимых для всего мирового сообщества.</w:t>
      </w:r>
    </w:p>
    <w:p w14:paraId="011C7BA8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 xml:space="preserve">Основной целью работы ITU-T является разработка универсальных рекомендаций и международных стандартов, относящихся к различным сферам телекоммуникационных технологий и управления </w:t>
      </w:r>
      <w:r w:rsidRPr="008B6535">
        <w:rPr>
          <w:rFonts w:ascii="Times New Roman" w:hAnsi="Times New Roman"/>
          <w:sz w:val="28"/>
          <w:szCs w:val="28"/>
        </w:rPr>
        <w:lastRenderedPageBreak/>
        <w:t xml:space="preserve">телекоммуникациями. Разрабатываемые рекомендации обеспечивают основу для развития рынка услуг связи, создания совместимых технических и организационных систем </w:t>
      </w:r>
      <w:r w:rsidR="00F845B4" w:rsidRPr="008B6535">
        <w:rPr>
          <w:rFonts w:ascii="Times New Roman" w:hAnsi="Times New Roman"/>
          <w:sz w:val="28"/>
          <w:szCs w:val="28"/>
        </w:rPr>
        <w:t>и др.</w:t>
      </w:r>
      <w:r w:rsidRPr="008B6535">
        <w:rPr>
          <w:rFonts w:ascii="Times New Roman" w:hAnsi="Times New Roman"/>
          <w:sz w:val="28"/>
          <w:szCs w:val="28"/>
        </w:rPr>
        <w:t xml:space="preserve"> С точки зрения обеспечения информационной безопасности наиболее значимыми стали рекомендации, относящиеся к серии "X – Сети передачи данных и связь открытых систем" и, в частности, к серии "X.8xx – Безопасность".</w:t>
      </w:r>
    </w:p>
    <w:p w14:paraId="3CC085EB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В соответствии с Резолюцией 1 Всемирной ассамблеи по стандартизации телекоммуникаций 2000-го года, была введена практика назначения Ведущих исследовательских групп (Lead Study Groups, LSGs) по определенным вопросам, требующим одновременной координации усилий нескольких исследовательских групп, которые работают в различных областях. Начиная с сентября 2001 года функционирует "Исследовательская группа 17: Сети передачи данных и телекоммуникационное программное обеспечение" ("Study Group 17: Data Networks and Telecommunication Software"), образованная на основе существовавших до этого "Исследовательской группы 7" и "Исследовательской группы 10". С момента своего образования она является Ведущей исследовательской группой по вопросам безопасности коммуникационных систем (Communication Systems Security, CSS) и, соответственно, не только работает над обеспечением безопасности технологий, напрямую относящихся к ее компетенции, но и курирует вопросы обеспечения безопасности различных коммуникационных технологий, разрабатываемых другими исследовательскими группами.</w:t>
      </w:r>
    </w:p>
    <w:p w14:paraId="40DE5074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Одной из наиболее значимых разработок этой группы в сфере информационной безопасности считается Стандарт Х.509, заложивший основы развития инфраструктуры публичных ключей. Наиболее актуальными проблемами, над которыми в настоящее время работает Ведущая исследовательская группа по вопросам безопасности коммуникационных систем, являются:</w:t>
      </w:r>
      <w:r w:rsidR="00BE66E7" w:rsidRPr="008B6535">
        <w:rPr>
          <w:rFonts w:ascii="Times New Roman" w:hAnsi="Times New Roman"/>
          <w:sz w:val="28"/>
          <w:szCs w:val="28"/>
        </w:rPr>
        <w:t xml:space="preserve"> </w:t>
      </w:r>
      <w:r w:rsidRPr="008B6535">
        <w:rPr>
          <w:rFonts w:ascii="Times New Roman" w:hAnsi="Times New Roman"/>
          <w:sz w:val="28"/>
          <w:szCs w:val="28"/>
        </w:rPr>
        <w:t xml:space="preserve">управление безопасностью; </w:t>
      </w:r>
      <w:r w:rsidRPr="008B6535">
        <w:rPr>
          <w:rFonts w:ascii="Times New Roman" w:hAnsi="Times New Roman"/>
          <w:sz w:val="28"/>
          <w:szCs w:val="28"/>
        </w:rPr>
        <w:lastRenderedPageBreak/>
        <w:t>безопасность мобильных систем; безопасность систем связи служб реагирования на чрезвычайные ситуации; телебиометрия.</w:t>
      </w:r>
    </w:p>
    <w:p w14:paraId="2BC14D68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В целом же работа этой исследовательской группы охватывает следующие основные сферы:</w:t>
      </w:r>
    </w:p>
    <w:p w14:paraId="31C34B66" w14:textId="1E92C792" w:rsidR="006023B8" w:rsidRPr="008B6535" w:rsidRDefault="006023B8" w:rsidP="008B6535">
      <w:pPr>
        <w:pStyle w:val="ab"/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безопасность управления сетями (включает в себя работу над следующими рекомендациями: М.3010 – Принципы сетей управления телекоммуникациями, М.3016 – Обзор безопасности сетей управления телекоммуникациями и некоторые другие);</w:t>
      </w:r>
    </w:p>
    <w:p w14:paraId="2C305FDF" w14:textId="7FFEEF52" w:rsidR="006023B8" w:rsidRPr="008B6535" w:rsidRDefault="006023B8" w:rsidP="008B6535">
      <w:pPr>
        <w:pStyle w:val="ab"/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аутентификация и службы каталогов (Х.500 – Обзор концептуальных моделей и сервисов, Х.509 – Основы технологии публичных ключей и сертификатов и некоторые другие);</w:t>
      </w:r>
    </w:p>
    <w:p w14:paraId="56DAC35B" w14:textId="72302156" w:rsidR="006023B8" w:rsidRPr="008B6535" w:rsidRDefault="006023B8" w:rsidP="008B6535">
      <w:pPr>
        <w:pStyle w:val="ab"/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управление системами (Х.733 – Функция отчета о происшествии, Х.740 – Функция проведения аудита безопасности и некоторые другие);</w:t>
      </w:r>
    </w:p>
    <w:p w14:paraId="21854FA1" w14:textId="3B7BC685" w:rsidR="006023B8" w:rsidRPr="008B6535" w:rsidRDefault="006023B8" w:rsidP="008B6535">
      <w:pPr>
        <w:pStyle w:val="ab"/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основы архитектуры безопасности (Х.800 – Архитектура безопасности инфраструктуры открытых систем для приложений ITU; Х.802 – Модель безопасности нижних уровней, Х.803 – Модель безопасности верхних уровней и некоторые другие);</w:t>
      </w:r>
    </w:p>
    <w:p w14:paraId="124C979A" w14:textId="167BB3E9" w:rsidR="006023B8" w:rsidRPr="008B6535" w:rsidRDefault="006023B8" w:rsidP="008B6535">
      <w:pPr>
        <w:pStyle w:val="ab"/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факсимильная связь (Т.36 – Возможности обеспечения безопасности при использовании факсимильных аппаратов третьей группы; Т.563 – Характеристики терминалов для использования с факсимильными аппаратами четвертой группы и некоторые другие);</w:t>
      </w:r>
    </w:p>
    <w:p w14:paraId="1F60A6B2" w14:textId="22B1B216" w:rsidR="006023B8" w:rsidRPr="008B6535" w:rsidRDefault="006023B8" w:rsidP="008B6535">
      <w:pPr>
        <w:pStyle w:val="ab"/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телевизионные и кабельные системы (J.170 – Спецификация безопасности IPCabelcom и некоторые другие);</w:t>
      </w:r>
    </w:p>
    <w:p w14:paraId="59E7B389" w14:textId="1609B190" w:rsidR="006023B8" w:rsidRPr="008B6535" w:rsidRDefault="006023B8" w:rsidP="008B6535">
      <w:pPr>
        <w:pStyle w:val="ab"/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техника обеспечения безопасности (Х.841 – Объекты информационной безопасности для контроля доступа и некоторые другие);</w:t>
      </w:r>
    </w:p>
    <w:p w14:paraId="28DF6371" w14:textId="77777777" w:rsidR="006023B8" w:rsidRPr="008B6535" w:rsidRDefault="006023B8" w:rsidP="008B6535">
      <w:pPr>
        <w:pStyle w:val="ab"/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 xml:space="preserve">мультимедийные коммуникации (Н.233 – Система обеспечения конфиденциальности для аудиовизуальных сервисов, Н.234 – Управление </w:t>
      </w:r>
      <w:r w:rsidRPr="008B653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ключами шифрования и системой аутентификации в аудиовизуальных сервисах и </w:t>
      </w:r>
      <w:r w:rsidR="00BE66E7" w:rsidRPr="008B6535">
        <w:rPr>
          <w:rFonts w:ascii="Times New Roman" w:hAnsi="Times New Roman" w:cs="Times New Roman"/>
          <w:color w:val="000000"/>
          <w:sz w:val="28"/>
          <w:szCs w:val="28"/>
        </w:rPr>
        <w:t>др.</w:t>
      </w:r>
    </w:p>
    <w:p w14:paraId="1CF6A345" w14:textId="32ACC98E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Помимо разработки рекомендаций и стандартов, одним из важных направлений работы ITU также стало обеспечение информационного обмена в различных формах: распространение методических материалов, касающихся обеспечения информационной безопасности, проведение семинаров и конференций. Одним из наиболее масштабных таких мероприятий является Всемирный саммит по информационному обществу (WSIS: The World Summit On The Information Society).</w:t>
      </w:r>
    </w:p>
    <w:p w14:paraId="29BD2C7F" w14:textId="3DA5EC82" w:rsidR="00C5119B" w:rsidRPr="008B6535" w:rsidRDefault="00C5119B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B6535">
        <w:rPr>
          <w:rFonts w:ascii="Times New Roman" w:hAnsi="Times New Roman"/>
          <w:b/>
          <w:bCs/>
          <w:sz w:val="28"/>
          <w:szCs w:val="28"/>
        </w:rPr>
        <w:t>2</w:t>
      </w:r>
      <w:r w:rsidR="0062455E">
        <w:rPr>
          <w:rFonts w:ascii="Times New Roman" w:hAnsi="Times New Roman"/>
          <w:b/>
          <w:bCs/>
          <w:sz w:val="28"/>
          <w:szCs w:val="28"/>
        </w:rPr>
        <w:t>.2</w:t>
      </w:r>
      <w:r w:rsidRPr="008B6535">
        <w:rPr>
          <w:rFonts w:ascii="Times New Roman" w:hAnsi="Times New Roman"/>
          <w:b/>
          <w:bCs/>
          <w:sz w:val="28"/>
          <w:szCs w:val="28"/>
        </w:rPr>
        <w:t xml:space="preserve"> Институт инженеров по электронике и электротехнике</w:t>
      </w:r>
    </w:p>
    <w:p w14:paraId="3CE250E7" w14:textId="77777777" w:rsidR="00D42FF0" w:rsidRPr="008B6535" w:rsidRDefault="006023B8" w:rsidP="008B6535">
      <w:pPr>
        <w:pStyle w:val="4"/>
        <w:tabs>
          <w:tab w:val="left" w:pos="1134"/>
        </w:tabs>
        <w:spacing w:before="0" w:after="0" w:line="360" w:lineRule="auto"/>
        <w:ind w:firstLine="709"/>
        <w:jc w:val="both"/>
        <w:rPr>
          <w:b w:val="0"/>
          <w:color w:val="000000"/>
        </w:rPr>
      </w:pPr>
      <w:bookmarkStart w:id="2" w:name="_Toc245307595"/>
      <w:r w:rsidRPr="008B6535">
        <w:rPr>
          <w:b w:val="0"/>
          <w:color w:val="000000"/>
          <w:lang w:val="en-US"/>
        </w:rPr>
        <w:t>Institute</w:t>
      </w:r>
      <w:r w:rsidRPr="008B6535">
        <w:rPr>
          <w:b w:val="0"/>
          <w:color w:val="000000"/>
        </w:rPr>
        <w:t xml:space="preserve"> </w:t>
      </w:r>
      <w:r w:rsidRPr="008B6535">
        <w:rPr>
          <w:b w:val="0"/>
          <w:color w:val="000000"/>
          <w:lang w:val="en-US"/>
        </w:rPr>
        <w:t>of</w:t>
      </w:r>
      <w:r w:rsidRPr="008B6535">
        <w:rPr>
          <w:b w:val="0"/>
          <w:color w:val="000000"/>
        </w:rPr>
        <w:t xml:space="preserve"> </w:t>
      </w:r>
      <w:r w:rsidRPr="008B6535">
        <w:rPr>
          <w:b w:val="0"/>
          <w:color w:val="000000"/>
          <w:lang w:val="en-US"/>
        </w:rPr>
        <w:t>Electrical</w:t>
      </w:r>
      <w:r w:rsidRPr="008B6535">
        <w:rPr>
          <w:b w:val="0"/>
          <w:color w:val="000000"/>
        </w:rPr>
        <w:t xml:space="preserve"> </w:t>
      </w:r>
      <w:r w:rsidRPr="008B6535">
        <w:rPr>
          <w:b w:val="0"/>
          <w:color w:val="000000"/>
          <w:lang w:val="en-US"/>
        </w:rPr>
        <w:t>and</w:t>
      </w:r>
      <w:r w:rsidRPr="008B6535">
        <w:rPr>
          <w:b w:val="0"/>
          <w:color w:val="000000"/>
        </w:rPr>
        <w:t xml:space="preserve"> </w:t>
      </w:r>
      <w:r w:rsidRPr="008B6535">
        <w:rPr>
          <w:b w:val="0"/>
          <w:color w:val="000000"/>
          <w:lang w:val="en-US"/>
        </w:rPr>
        <w:t>Electronics</w:t>
      </w:r>
      <w:r w:rsidRPr="008B6535">
        <w:rPr>
          <w:b w:val="0"/>
          <w:color w:val="000000"/>
        </w:rPr>
        <w:t xml:space="preserve"> </w:t>
      </w:r>
      <w:r w:rsidRPr="008B6535">
        <w:rPr>
          <w:b w:val="0"/>
          <w:color w:val="000000"/>
          <w:lang w:val="en-US"/>
        </w:rPr>
        <w:t>Engineers</w:t>
      </w:r>
      <w:r w:rsidRPr="008B6535">
        <w:rPr>
          <w:b w:val="0"/>
          <w:color w:val="000000"/>
        </w:rPr>
        <w:t xml:space="preserve"> (</w:t>
      </w:r>
      <w:r w:rsidRPr="008B6535">
        <w:rPr>
          <w:b w:val="0"/>
          <w:color w:val="000000"/>
          <w:lang w:val="en-US"/>
        </w:rPr>
        <w:t>IEEE</w:t>
      </w:r>
      <w:r w:rsidRPr="008B6535">
        <w:rPr>
          <w:b w:val="0"/>
          <w:color w:val="000000"/>
        </w:rPr>
        <w:t>) – Институт инженеров по электронике и электротехнике</w:t>
      </w:r>
      <w:bookmarkEnd w:id="2"/>
      <w:r w:rsidR="00BE66E7" w:rsidRPr="008B6535">
        <w:rPr>
          <w:b w:val="0"/>
          <w:color w:val="000000"/>
        </w:rPr>
        <w:t xml:space="preserve"> </w:t>
      </w:r>
      <w:r w:rsidRPr="008B6535">
        <w:rPr>
          <w:b w:val="0"/>
        </w:rPr>
        <w:t>IEEE является одной из наиболее известных профессиональных организаций, существует с 1884 года и в настоящее время насчитывает около 380000 членов из 150 стран мира. В сферу ее интересов входит множество вопросов, связанных с электротехникой, радиоэлектроникой, вычислительной техникой, информатикой, а также некоторыми разделами физики и математики.</w:t>
      </w:r>
      <w:r w:rsidRPr="008B6535">
        <w:t xml:space="preserve"> </w:t>
      </w:r>
      <w:r w:rsidRPr="008B6535">
        <w:rPr>
          <w:b w:val="0"/>
        </w:rPr>
        <w:t>Основные направления работы этой организации:</w:t>
      </w:r>
      <w:r w:rsidR="00D42FF0" w:rsidRPr="008B6535">
        <w:rPr>
          <w:b w:val="0"/>
        </w:rPr>
        <w:t xml:space="preserve"> </w:t>
      </w:r>
      <w:r w:rsidRPr="008B6535">
        <w:rPr>
          <w:b w:val="0"/>
          <w:color w:val="000000"/>
        </w:rPr>
        <w:t>проведение специализированных профессиональных конференций;</w:t>
      </w:r>
      <w:r w:rsidR="00D42FF0" w:rsidRPr="008B6535">
        <w:rPr>
          <w:b w:val="0"/>
          <w:color w:val="000000"/>
        </w:rPr>
        <w:t xml:space="preserve"> </w:t>
      </w:r>
      <w:r w:rsidRPr="008B6535">
        <w:rPr>
          <w:b w:val="0"/>
          <w:color w:val="000000"/>
        </w:rPr>
        <w:t>публикация специализированных изданий; поддержка образовательной деятельности; поддержка инновационных технических и методических разработок в различных сферах; разработка и распространение технических стандартов.</w:t>
      </w:r>
    </w:p>
    <w:p w14:paraId="514688A8" w14:textId="77777777" w:rsidR="006023B8" w:rsidRPr="008B6535" w:rsidRDefault="006023B8" w:rsidP="008B6535">
      <w:pPr>
        <w:pStyle w:val="4"/>
        <w:tabs>
          <w:tab w:val="left" w:pos="1134"/>
        </w:tabs>
        <w:spacing w:before="0" w:after="0" w:line="360" w:lineRule="auto"/>
        <w:ind w:firstLine="709"/>
        <w:jc w:val="both"/>
      </w:pPr>
      <w:r w:rsidRPr="008B6535">
        <w:rPr>
          <w:b w:val="0"/>
        </w:rPr>
        <w:t>В состав IEEE входят 10 региональных отделений, 38 профессиональных обществ, 4 совета и 1450 студенческих отделений. Текущее управление деятельностью на верхнем уровне осуществляется Советом директоров и Исполнительным комитетом, работу которых возглавляют Президент и Исполнительный директор.</w:t>
      </w:r>
      <w:r w:rsidR="00D42FF0" w:rsidRPr="008B6535">
        <w:rPr>
          <w:b w:val="0"/>
        </w:rPr>
        <w:t xml:space="preserve"> </w:t>
      </w:r>
      <w:r w:rsidRPr="008B6535">
        <w:rPr>
          <w:b w:val="0"/>
        </w:rPr>
        <w:t xml:space="preserve">Одним из основных подразделений IEEE, специализирующихся на вопросах информационной </w:t>
      </w:r>
      <w:r w:rsidRPr="008B6535">
        <w:rPr>
          <w:b w:val="0"/>
        </w:rPr>
        <w:lastRenderedPageBreak/>
        <w:t>безопасности, является Технический комитет по безопасности и защите частной информации – "IEEE Computer Society Technical Committee on Security and Privacy"</w:t>
      </w:r>
      <w:r w:rsidR="00D42FF0" w:rsidRPr="008B6535">
        <w:rPr>
          <w:b w:val="0"/>
        </w:rPr>
        <w:t>(</w:t>
      </w:r>
      <w:hyperlink r:id="rId7" w:tgtFrame="_blank" w:history="1">
        <w:r w:rsidR="00D42FF0" w:rsidRPr="008B6535">
          <w:rPr>
            <w:rStyle w:val="ac"/>
            <w:b w:val="0"/>
            <w:color w:val="auto"/>
            <w:u w:val="none"/>
          </w:rPr>
          <w:t>http://www.ieee-security.org/</w:t>
        </w:r>
      </w:hyperlink>
      <w:r w:rsidR="00D42FF0" w:rsidRPr="008B6535">
        <w:rPr>
          <w:b w:val="0"/>
        </w:rPr>
        <w:t>).</w:t>
      </w:r>
      <w:r w:rsidRPr="008B6535">
        <w:rPr>
          <w:b w:val="0"/>
        </w:rPr>
        <w:t>В его составе функционируют три подкомитета:</w:t>
      </w:r>
    </w:p>
    <w:p w14:paraId="19F56D99" w14:textId="77777777" w:rsidR="006023B8" w:rsidRPr="008B6535" w:rsidRDefault="006023B8" w:rsidP="008B6535">
      <w:pPr>
        <w:pStyle w:val="ab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 xml:space="preserve">Подкомитет по стандартам (Subcommittee on Standards); </w:t>
      </w:r>
    </w:p>
    <w:p w14:paraId="777A54E1" w14:textId="77777777" w:rsidR="006023B8" w:rsidRPr="008B6535" w:rsidRDefault="006023B8" w:rsidP="008B6535">
      <w:pPr>
        <w:pStyle w:val="ab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 xml:space="preserve">Подкомитет по академической работе (Subcommittee on Academic Affairs); </w:t>
      </w:r>
    </w:p>
    <w:p w14:paraId="2B1734D3" w14:textId="77777777" w:rsidR="006023B8" w:rsidRPr="008B6535" w:rsidRDefault="006023B8" w:rsidP="008B6535">
      <w:pPr>
        <w:pStyle w:val="ab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Подкомитет по специализированным конференциям (Subcommittee on Security Conferences).</w:t>
      </w:r>
    </w:p>
    <w:p w14:paraId="34524A82" w14:textId="77777777" w:rsidR="006023B8" w:rsidRPr="008B6535" w:rsidRDefault="006023B8" w:rsidP="008B6535">
      <w:pPr>
        <w:pStyle w:val="ad"/>
        <w:numPr>
          <w:ilvl w:val="0"/>
          <w:numId w:val="4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Основными мероприятиями, которые проводит этот комитет, являются:</w:t>
      </w:r>
    </w:p>
    <w:p w14:paraId="54013E7C" w14:textId="0CEDA44D" w:rsidR="006023B8" w:rsidRPr="008B6535" w:rsidRDefault="006023B8" w:rsidP="008B6535">
      <w:pPr>
        <w:pStyle w:val="ab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Ежегодный симпозиум по безопасности и защите частной информации (IEEE CS Symposium on Security and Privacy);</w:t>
      </w:r>
    </w:p>
    <w:p w14:paraId="4EC6EC0B" w14:textId="77777777" w:rsidR="006023B8" w:rsidRPr="008B6535" w:rsidRDefault="006023B8" w:rsidP="008B6535">
      <w:pPr>
        <w:pStyle w:val="ab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Ежегодный семинар по основам информационной безопасности (Computer Security Foundations Workshop).</w:t>
      </w:r>
    </w:p>
    <w:p w14:paraId="405A4966" w14:textId="6F9E7738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 xml:space="preserve">Также комитет ведет работу по сбору и обобщению актуальной информации о событиях в сообществе специалистов по информационной безопасности: объявления о планируемых конференциях, отчеты о прошедших конференциях и семинарах, обзоры литературы и периодики, ссылки на ресурсы в сети Интернет </w:t>
      </w:r>
      <w:r w:rsidR="00F845B4" w:rsidRPr="008B6535">
        <w:rPr>
          <w:rFonts w:ascii="Times New Roman" w:hAnsi="Times New Roman"/>
          <w:sz w:val="28"/>
          <w:szCs w:val="28"/>
        </w:rPr>
        <w:t>и др.</w:t>
      </w:r>
      <w:r w:rsidRPr="008B6535">
        <w:rPr>
          <w:rFonts w:ascii="Times New Roman" w:hAnsi="Times New Roman"/>
          <w:sz w:val="28"/>
          <w:szCs w:val="28"/>
        </w:rPr>
        <w:t xml:space="preserve"> Специальный информационный бюллетень с этой информацией – "Cipher" – рассылается подписчикам в среднем один раз в два месяца.</w:t>
      </w:r>
    </w:p>
    <w:p w14:paraId="2D508C97" w14:textId="216F02FB" w:rsidR="00C5119B" w:rsidRPr="008B6535" w:rsidRDefault="0062455E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 w:rsidR="00C5119B" w:rsidRPr="008B6535">
        <w:rPr>
          <w:rFonts w:ascii="Times New Roman" w:hAnsi="Times New Roman"/>
          <w:b/>
          <w:bCs/>
          <w:sz w:val="28"/>
          <w:szCs w:val="28"/>
        </w:rPr>
        <w:t>3 Ассоциация вычислительной техники</w:t>
      </w:r>
    </w:p>
    <w:p w14:paraId="62BE9B01" w14:textId="13C4E04A" w:rsidR="00D42FF0" w:rsidRPr="008B6535" w:rsidRDefault="00DE7459" w:rsidP="008B6535">
      <w:pPr>
        <w:pStyle w:val="4"/>
        <w:tabs>
          <w:tab w:val="left" w:pos="1134"/>
        </w:tabs>
        <w:spacing w:before="0" w:after="0" w:line="360" w:lineRule="auto"/>
        <w:ind w:firstLine="709"/>
        <w:jc w:val="both"/>
        <w:rPr>
          <w:b w:val="0"/>
        </w:rPr>
      </w:pPr>
      <w:bookmarkStart w:id="3" w:name="_Toc245307596"/>
      <w:r w:rsidRPr="008B6535">
        <w:rPr>
          <w:b w:val="0"/>
          <w:color w:val="000000"/>
          <w:lang w:val="en-US"/>
        </w:rPr>
        <w:t>Association</w:t>
      </w:r>
      <w:r w:rsidRPr="008B6535">
        <w:rPr>
          <w:b w:val="0"/>
          <w:color w:val="000000"/>
        </w:rPr>
        <w:t xml:space="preserve"> </w:t>
      </w:r>
      <w:r w:rsidRPr="008B6535">
        <w:rPr>
          <w:b w:val="0"/>
          <w:color w:val="000000"/>
          <w:lang w:val="en-US"/>
        </w:rPr>
        <w:t>for</w:t>
      </w:r>
      <w:r w:rsidRPr="008B6535">
        <w:rPr>
          <w:b w:val="0"/>
          <w:color w:val="000000"/>
        </w:rPr>
        <w:t xml:space="preserve"> </w:t>
      </w:r>
      <w:r w:rsidRPr="008B6535">
        <w:rPr>
          <w:b w:val="0"/>
          <w:color w:val="000000"/>
          <w:lang w:val="en-US"/>
        </w:rPr>
        <w:t>Computing</w:t>
      </w:r>
      <w:r w:rsidRPr="008B6535">
        <w:rPr>
          <w:b w:val="0"/>
          <w:color w:val="000000"/>
        </w:rPr>
        <w:t xml:space="preserve"> </w:t>
      </w:r>
      <w:r w:rsidRPr="008B6535">
        <w:rPr>
          <w:b w:val="0"/>
          <w:color w:val="000000"/>
          <w:lang w:val="en-US"/>
        </w:rPr>
        <w:t>Machinery</w:t>
      </w:r>
      <w:r w:rsidRPr="008B6535">
        <w:rPr>
          <w:b w:val="0"/>
          <w:color w:val="000000"/>
        </w:rPr>
        <w:t xml:space="preserve"> (</w:t>
      </w:r>
      <w:r w:rsidRPr="008B6535">
        <w:rPr>
          <w:b w:val="0"/>
          <w:color w:val="000000"/>
          <w:lang w:val="en-US"/>
        </w:rPr>
        <w:t>ACM</w:t>
      </w:r>
      <w:r w:rsidRPr="008B6535">
        <w:rPr>
          <w:b w:val="0"/>
          <w:color w:val="000000"/>
        </w:rPr>
        <w:t>) – Ассоциация вычислительной техники</w:t>
      </w:r>
      <w:bookmarkEnd w:id="3"/>
      <w:r w:rsidRPr="008B6535">
        <w:rPr>
          <w:b w:val="0"/>
          <w:color w:val="000000"/>
        </w:rPr>
        <w:t xml:space="preserve"> </w:t>
      </w:r>
      <w:r w:rsidRPr="008B6535">
        <w:rPr>
          <w:b w:val="0"/>
        </w:rPr>
        <w:t xml:space="preserve">является одной из старейших организаций, связанных с информационными технологиями – была основана в 1947 году, на заре развития компьютерной техники. </w:t>
      </w:r>
      <w:r w:rsidR="006023B8" w:rsidRPr="008B6535">
        <w:rPr>
          <w:b w:val="0"/>
        </w:rPr>
        <w:t xml:space="preserve">Основные задачи ACM - поддержка образовательных проектов в сфере информационных технологий, </w:t>
      </w:r>
      <w:r w:rsidR="006023B8" w:rsidRPr="008B6535">
        <w:rPr>
          <w:b w:val="0"/>
        </w:rPr>
        <w:lastRenderedPageBreak/>
        <w:t>организация научно-практических конференций, симпозиумов и семинаров, общественно-политическая работа, связанная с информационными технологиями, публикация периодических изданий и сборников научных трудов, посвященных проблемам современных информационных технологий, поддержка электронного архива таких публикаций, а также другая подобная деятельность. Основным управляющим органом этой организации является Совет ACM, в который входит 16 человек, в том числе президент и вице-президент. Управление текущими делами Ассоциации осуществляют четыре профильных комитета. Штаб-квартира ACM, в которой работают основные исполнительные органы, располагается в Нью-Йорке начиная с 1960 года.</w:t>
      </w:r>
    </w:p>
    <w:p w14:paraId="454D641B" w14:textId="77777777" w:rsidR="006023B8" w:rsidRPr="008B6535" w:rsidRDefault="006023B8" w:rsidP="008B6535">
      <w:pPr>
        <w:pStyle w:val="4"/>
        <w:tabs>
          <w:tab w:val="left" w:pos="1134"/>
        </w:tabs>
        <w:spacing w:before="0" w:after="0" w:line="360" w:lineRule="auto"/>
        <w:ind w:firstLine="709"/>
        <w:jc w:val="both"/>
        <w:rPr>
          <w:b w:val="0"/>
        </w:rPr>
      </w:pPr>
      <w:r w:rsidRPr="008B6535">
        <w:rPr>
          <w:b w:val="0"/>
        </w:rPr>
        <w:t>Одной из основ организации работы ACM является разделение всего сообщества членов ассоциации на так называемые группы специальных интересов (Special Interests Group – SIG) – подразделения, специализирующиеся на отдельных относительно узких проблемах развития информационных технологий. Всего ACM объединяет 34 группы, специализирующиеся на различных вопросах разработки и использования программного обеспечения, аппаратных средств и телекоммуникаций. Каждая из групп самостоятельно определяет для себя границы своей деятельности, а их политика и финансовые вопросы координируются одним из комитетов.</w:t>
      </w:r>
    </w:p>
    <w:p w14:paraId="45064B7B" w14:textId="276193F3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 xml:space="preserve">Одна из этих групп – </w:t>
      </w:r>
      <w:r w:rsidRPr="008B6535">
        <w:rPr>
          <w:rFonts w:ascii="Times New Roman" w:hAnsi="Times New Roman"/>
          <w:bCs/>
          <w:sz w:val="28"/>
          <w:szCs w:val="28"/>
        </w:rPr>
        <w:t>Special Interest Group on Security, Audit and Control</w:t>
      </w:r>
      <w:r w:rsidRPr="008B6535">
        <w:rPr>
          <w:rFonts w:ascii="Times New Roman" w:hAnsi="Times New Roman"/>
          <w:sz w:val="28"/>
          <w:szCs w:val="28"/>
        </w:rPr>
        <w:t xml:space="preserve"> (</w:t>
      </w:r>
      <w:r w:rsidRPr="008B6535">
        <w:rPr>
          <w:rFonts w:ascii="Times New Roman" w:hAnsi="Times New Roman"/>
          <w:bCs/>
          <w:sz w:val="28"/>
          <w:szCs w:val="28"/>
        </w:rPr>
        <w:t>SIGSAC</w:t>
      </w:r>
      <w:r w:rsidRPr="008B6535">
        <w:rPr>
          <w:rFonts w:ascii="Times New Roman" w:hAnsi="Times New Roman"/>
          <w:sz w:val="28"/>
          <w:szCs w:val="28"/>
        </w:rPr>
        <w:t xml:space="preserve">, Группа специальных интересов по вопросам безопасности, аудита и контроля, </w:t>
      </w:r>
      <w:hyperlink r:id="rId8" w:tgtFrame="_blank" w:history="1">
        <w:r w:rsidRPr="008B6535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http://www.acm.org/sigs/sigsac/</w:t>
        </w:r>
      </w:hyperlink>
      <w:r w:rsidRPr="008B6535">
        <w:rPr>
          <w:rFonts w:ascii="Times New Roman" w:hAnsi="Times New Roman"/>
          <w:color w:val="auto"/>
          <w:sz w:val="28"/>
          <w:szCs w:val="28"/>
        </w:rPr>
        <w:t>)</w:t>
      </w:r>
      <w:r w:rsidRPr="008B6535">
        <w:rPr>
          <w:rFonts w:ascii="Times New Roman" w:hAnsi="Times New Roman"/>
          <w:sz w:val="28"/>
          <w:szCs w:val="28"/>
        </w:rPr>
        <w:t xml:space="preserve"> – специализируется на вопросах информационной безопасности. Основной задачей данной группы является организация работы специализированных научно-практических конференций, таких как:</w:t>
      </w:r>
      <w:r w:rsidR="00D42FF0" w:rsidRPr="008B6535">
        <w:rPr>
          <w:rFonts w:ascii="Times New Roman" w:hAnsi="Times New Roman"/>
          <w:sz w:val="28"/>
          <w:szCs w:val="28"/>
        </w:rPr>
        <w:t xml:space="preserve"> с</w:t>
      </w:r>
      <w:r w:rsidRPr="008B6535">
        <w:rPr>
          <w:rFonts w:ascii="Times New Roman" w:hAnsi="Times New Roman"/>
          <w:sz w:val="28"/>
          <w:szCs w:val="28"/>
        </w:rPr>
        <w:t xml:space="preserve">импозиум по технологиям и моделям управления доступом (SACMAT: ACM Symposium on Access Control Models and </w:t>
      </w:r>
      <w:r w:rsidRPr="008B6535">
        <w:rPr>
          <w:rFonts w:ascii="Times New Roman" w:hAnsi="Times New Roman"/>
          <w:sz w:val="28"/>
          <w:szCs w:val="28"/>
        </w:rPr>
        <w:lastRenderedPageBreak/>
        <w:t xml:space="preserve">Technologies), проводимый ежегодно начиная с 1995 года; </w:t>
      </w:r>
      <w:r w:rsidR="00D42FF0" w:rsidRPr="008B6535">
        <w:rPr>
          <w:rFonts w:ascii="Times New Roman" w:hAnsi="Times New Roman"/>
          <w:sz w:val="28"/>
          <w:szCs w:val="28"/>
        </w:rPr>
        <w:t xml:space="preserve"> </w:t>
      </w:r>
      <w:r w:rsidRPr="008B6535">
        <w:rPr>
          <w:rFonts w:ascii="Times New Roman" w:hAnsi="Times New Roman"/>
          <w:sz w:val="28"/>
          <w:szCs w:val="28"/>
        </w:rPr>
        <w:t>онференция по безопасности компьютеров и коммуникаций (CCS: ACM Conference on Computer and Communications Security), проводимая ежегодно начиная с 1993 года.</w:t>
      </w:r>
      <w:r w:rsidR="00D42FF0" w:rsidRPr="008B6535">
        <w:rPr>
          <w:rFonts w:ascii="Times New Roman" w:hAnsi="Times New Roman"/>
          <w:sz w:val="28"/>
          <w:szCs w:val="28"/>
        </w:rPr>
        <w:t xml:space="preserve"> </w:t>
      </w:r>
      <w:r w:rsidRPr="008B6535">
        <w:rPr>
          <w:rFonts w:ascii="Times New Roman" w:hAnsi="Times New Roman"/>
          <w:sz w:val="28"/>
          <w:szCs w:val="28"/>
        </w:rPr>
        <w:t>Кроме того, вопросы информационной безопасности прямо или косвенно затрагиваются в работе других специализированных групп Ассоциации, таких как, например, Special Interest Group on Electronic Commerce (Группа по проблемам электронной коммерции).</w:t>
      </w:r>
    </w:p>
    <w:p w14:paraId="6575910A" w14:textId="3AD22329" w:rsidR="00C5119B" w:rsidRPr="008B6535" w:rsidRDefault="0062455E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 w:rsidR="00C5119B" w:rsidRPr="008B6535">
        <w:rPr>
          <w:rFonts w:ascii="Times New Roman" w:hAnsi="Times New Roman"/>
          <w:b/>
          <w:bCs/>
          <w:sz w:val="28"/>
          <w:szCs w:val="28"/>
        </w:rPr>
        <w:t>4 Консорциум Всемирной Паутины</w:t>
      </w:r>
    </w:p>
    <w:p w14:paraId="1D8A8833" w14:textId="77777777" w:rsidR="006023B8" w:rsidRPr="008B6535" w:rsidRDefault="006023B8" w:rsidP="008B6535">
      <w:pPr>
        <w:pStyle w:val="4"/>
        <w:tabs>
          <w:tab w:val="left" w:pos="1134"/>
        </w:tabs>
        <w:spacing w:before="0" w:after="0" w:line="360" w:lineRule="auto"/>
        <w:ind w:firstLine="709"/>
        <w:jc w:val="both"/>
        <w:rPr>
          <w:b w:val="0"/>
          <w:color w:val="000000"/>
        </w:rPr>
      </w:pPr>
      <w:bookmarkStart w:id="4" w:name="_Toc245307597"/>
      <w:r w:rsidRPr="008B6535">
        <w:rPr>
          <w:b w:val="0"/>
          <w:color w:val="000000"/>
        </w:rPr>
        <w:t>World Wide Web Consortium (W3C) – Консорциум Всемирной Паутины</w:t>
      </w:r>
      <w:bookmarkEnd w:id="4"/>
      <w:r w:rsidR="00987139" w:rsidRPr="008B6535">
        <w:rPr>
          <w:b w:val="0"/>
          <w:color w:val="000000"/>
        </w:rPr>
        <w:t>.</w:t>
      </w:r>
    </w:p>
    <w:p w14:paraId="6697D030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Создание W3C было инициировано в 1989 году с целью разработки единых, согласованных стандартов обмена информацией в глобальных сетях передачи данных, а официально создание консорциума было оформлено в 1994г. Его основными задачами являются:</w:t>
      </w:r>
    </w:p>
    <w:p w14:paraId="691A9C19" w14:textId="02DD20D9" w:rsidR="006023B8" w:rsidRPr="008B6535" w:rsidRDefault="006023B8" w:rsidP="008B6535">
      <w:pPr>
        <w:pStyle w:val="ab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обеспечение возможности доступа к сети Интернет для как можно большего числа людей вне зависимости от знания иностранных языков, культурной принадлежности, географического положения и доступных им технических средств и технической инфраструктуры;</w:t>
      </w:r>
    </w:p>
    <w:p w14:paraId="3CE3630B" w14:textId="7841CD84" w:rsidR="006023B8" w:rsidRPr="008B6535" w:rsidRDefault="006023B8" w:rsidP="008B6535">
      <w:pPr>
        <w:pStyle w:val="ab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обеспечение возможности подключения к Интернет различных технических устройств;</w:t>
      </w:r>
    </w:p>
    <w:p w14:paraId="7A5B6F6A" w14:textId="0F763300" w:rsidR="006023B8" w:rsidRPr="008B6535" w:rsidRDefault="006023B8" w:rsidP="008B6535">
      <w:pPr>
        <w:pStyle w:val="ab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обеспечение возможности структурирования и формализации информации, доступной через Интернет, с целью сделать ее как можно более пригодной для автоматизированной обработки;</w:t>
      </w:r>
    </w:p>
    <w:p w14:paraId="20CE2E38" w14:textId="77777777" w:rsidR="006023B8" w:rsidRPr="008B6535" w:rsidRDefault="006023B8" w:rsidP="008B6535">
      <w:pPr>
        <w:pStyle w:val="ab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обеспечение надежности и безопасности обмена информацией, а также возможности участвовать в информационном обмене с тем уровнем защищенности, который отдельные пользователи считают для себя подходящим.</w:t>
      </w:r>
    </w:p>
    <w:p w14:paraId="20CFE5CC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 xml:space="preserve">К настоящему времени консорциум объединяет более четырехсот ведущих технологических и телекоммуникационных компаний, </w:t>
      </w:r>
      <w:r w:rsidRPr="008B6535">
        <w:rPr>
          <w:rFonts w:ascii="Times New Roman" w:hAnsi="Times New Roman"/>
          <w:sz w:val="28"/>
          <w:szCs w:val="28"/>
        </w:rPr>
        <w:lastRenderedPageBreak/>
        <w:t>правительственных организаций, исследовательских центров, институтов и университетов по всему миру. Кроме того, в штате консорциума состоят около 70 независимых технических экспертов, обеспечивающих его работу. Финансирование деятельности осуществляется за счет членских взносов, а основные административные функции и повседневная деятельность выполняются на базе трех организаций:</w:t>
      </w:r>
    </w:p>
    <w:p w14:paraId="62AF9993" w14:textId="57BBF162" w:rsidR="006023B8" w:rsidRPr="008B6535" w:rsidRDefault="006023B8" w:rsidP="008B6535">
      <w:pPr>
        <w:numPr>
          <w:ilvl w:val="0"/>
          <w:numId w:val="4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Массачусетский технологический институт (США)</w:t>
      </w:r>
      <w:r w:rsidR="00C16127" w:rsidRPr="008B65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5A38DC6" w14:textId="39CE8725" w:rsidR="006023B8" w:rsidRPr="008B6535" w:rsidRDefault="006023B8" w:rsidP="008B6535">
      <w:pPr>
        <w:numPr>
          <w:ilvl w:val="0"/>
          <w:numId w:val="4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Европейский консорциум по исследованиям в области информатики и математики (Франция)</w:t>
      </w:r>
      <w:r w:rsidR="00C16127" w:rsidRPr="008B65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E829196" w14:textId="77777777" w:rsidR="006023B8" w:rsidRPr="008B6535" w:rsidRDefault="006023B8" w:rsidP="008B6535">
      <w:pPr>
        <w:numPr>
          <w:ilvl w:val="0"/>
          <w:numId w:val="4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35">
        <w:rPr>
          <w:rFonts w:ascii="Times New Roman" w:hAnsi="Times New Roman" w:cs="Times New Roman"/>
          <w:color w:val="000000"/>
          <w:sz w:val="28"/>
          <w:szCs w:val="28"/>
        </w:rPr>
        <w:t>Университет Кейо (Япония).</w:t>
      </w:r>
    </w:p>
    <w:p w14:paraId="22180B39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Помимо формирования стандартов ("рекомендаций"), эта организация также занимается образовательной деятельностью и предоставляет возможности для обсуждения различных вопросов, связанных с функционированием Интернет.</w:t>
      </w:r>
      <w:r w:rsidR="00EF38C4" w:rsidRPr="008B6535">
        <w:rPr>
          <w:rFonts w:ascii="Times New Roman" w:hAnsi="Times New Roman"/>
          <w:sz w:val="28"/>
          <w:szCs w:val="28"/>
        </w:rPr>
        <w:t xml:space="preserve"> </w:t>
      </w:r>
      <w:r w:rsidRPr="008B6535">
        <w:rPr>
          <w:rFonts w:ascii="Times New Roman" w:hAnsi="Times New Roman"/>
          <w:sz w:val="28"/>
          <w:szCs w:val="28"/>
        </w:rPr>
        <w:t>Деятельность консорциума организована в виде групп: Рабочие группы (занимаются проработкой технических вопросов), Группы специальных интересов и Координационные группы (обеспечивают взаимодействие между другими группами). В каждую группу входят представители организаций-участников консорциума и приглашенные эксперты. Сферы работы консорциума ("домены", Domain), разделены на направления (Activities). Работа по двадцати четырем направлениям выполняется в общей сложности шестьюдесятью группами.</w:t>
      </w:r>
    </w:p>
    <w:p w14:paraId="0F735A8F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Вопросами информационной безопасности занимается сфера "Технология и общество" (Technology and Society Domain) в рамках специального направления "Безопасность" (W3C Security Activity), состоящего из двух рабочих групп. Также до 2006 года в составе Консорциума функционировало направление "Защита частной информации" (Privacy).</w:t>
      </w:r>
    </w:p>
    <w:p w14:paraId="5765D30D" w14:textId="670480D9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lastRenderedPageBreak/>
        <w:t>К работам консорциума в сфере информационной безопасности относятся:</w:t>
      </w:r>
      <w:r w:rsidR="00EF38C4" w:rsidRPr="008B6535">
        <w:rPr>
          <w:rFonts w:ascii="Times New Roman" w:hAnsi="Times New Roman"/>
          <w:sz w:val="28"/>
          <w:szCs w:val="28"/>
        </w:rPr>
        <w:t xml:space="preserve"> </w:t>
      </w:r>
      <w:r w:rsidRPr="008B6535">
        <w:rPr>
          <w:rFonts w:ascii="Times New Roman" w:hAnsi="Times New Roman"/>
          <w:sz w:val="28"/>
          <w:szCs w:val="28"/>
        </w:rPr>
        <w:t>разработка стандарта цифровых подписей для информационных ресурсов (PICS Signed Labels 1.0 Specification); разработка системы электронной подписи для документов XML; разработка стандартов передачи зашифрованных данных с использованием языка XML.</w:t>
      </w:r>
    </w:p>
    <w:p w14:paraId="32CFFD05" w14:textId="2A9BBCC7" w:rsidR="00C5119B" w:rsidRPr="008B6535" w:rsidRDefault="0062455E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 w:rsidR="00C5119B" w:rsidRPr="008B6535">
        <w:rPr>
          <w:rFonts w:ascii="Times New Roman" w:hAnsi="Times New Roman"/>
          <w:b/>
          <w:bCs/>
          <w:sz w:val="28"/>
          <w:szCs w:val="28"/>
        </w:rPr>
        <w:t>5 Международная организация по стандартизации</w:t>
      </w:r>
    </w:p>
    <w:p w14:paraId="785E6EEA" w14:textId="77777777" w:rsidR="006023B8" w:rsidRPr="008B6535" w:rsidRDefault="006023B8" w:rsidP="008B6535">
      <w:pPr>
        <w:pStyle w:val="4"/>
        <w:tabs>
          <w:tab w:val="left" w:pos="1134"/>
        </w:tabs>
        <w:spacing w:before="0" w:after="0" w:line="360" w:lineRule="auto"/>
        <w:ind w:firstLine="709"/>
        <w:jc w:val="both"/>
        <w:rPr>
          <w:b w:val="0"/>
        </w:rPr>
      </w:pPr>
      <w:bookmarkStart w:id="5" w:name="_Toc245307598"/>
      <w:r w:rsidRPr="008B6535">
        <w:rPr>
          <w:b w:val="0"/>
          <w:color w:val="000000"/>
          <w:lang w:val="en-US"/>
        </w:rPr>
        <w:t>International</w:t>
      </w:r>
      <w:r w:rsidRPr="008B6535">
        <w:rPr>
          <w:b w:val="0"/>
          <w:color w:val="000000"/>
        </w:rPr>
        <w:t xml:space="preserve"> </w:t>
      </w:r>
      <w:r w:rsidRPr="008B6535">
        <w:rPr>
          <w:b w:val="0"/>
          <w:color w:val="000000"/>
          <w:lang w:val="en-US"/>
        </w:rPr>
        <w:t>Organization</w:t>
      </w:r>
      <w:r w:rsidRPr="008B6535">
        <w:rPr>
          <w:b w:val="0"/>
          <w:color w:val="000000"/>
        </w:rPr>
        <w:t xml:space="preserve"> </w:t>
      </w:r>
      <w:r w:rsidRPr="008B6535">
        <w:rPr>
          <w:b w:val="0"/>
          <w:color w:val="000000"/>
          <w:lang w:val="en-US"/>
        </w:rPr>
        <w:t>for</w:t>
      </w:r>
      <w:r w:rsidRPr="008B6535">
        <w:rPr>
          <w:b w:val="0"/>
          <w:color w:val="000000"/>
        </w:rPr>
        <w:t xml:space="preserve"> </w:t>
      </w:r>
      <w:r w:rsidRPr="008B6535">
        <w:rPr>
          <w:b w:val="0"/>
          <w:color w:val="000000"/>
          <w:lang w:val="en-US"/>
        </w:rPr>
        <w:t>Standardization</w:t>
      </w:r>
      <w:r w:rsidRPr="008B6535">
        <w:rPr>
          <w:b w:val="0"/>
          <w:color w:val="000000"/>
        </w:rPr>
        <w:t xml:space="preserve"> (</w:t>
      </w:r>
      <w:r w:rsidRPr="008B6535">
        <w:rPr>
          <w:b w:val="0"/>
          <w:color w:val="000000"/>
          <w:lang w:val="en-US"/>
        </w:rPr>
        <w:t>ISO</w:t>
      </w:r>
      <w:r w:rsidRPr="008B6535">
        <w:rPr>
          <w:b w:val="0"/>
          <w:color w:val="000000"/>
        </w:rPr>
        <w:t>) – Международная организация по стандартизации</w:t>
      </w:r>
      <w:bookmarkEnd w:id="5"/>
      <w:r w:rsidR="00EF38C4" w:rsidRPr="008B6535">
        <w:rPr>
          <w:b w:val="0"/>
          <w:color w:val="000000"/>
        </w:rPr>
        <w:t xml:space="preserve">. </w:t>
      </w:r>
      <w:r w:rsidRPr="008B6535">
        <w:rPr>
          <w:b w:val="0"/>
        </w:rPr>
        <w:t>ISO в нынешнем виде была учреждена в 1946г. и представляет собой неправительственное объединение национальных организаций по стандартизации, нацеленное на унификацию стандартов (главным образом, технических) в различных областях производственной деятельности и оказания услуг.</w:t>
      </w:r>
    </w:p>
    <w:p w14:paraId="59D1F500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Помимо основных членов (156 стран), непосредственно участвующих в работе, в ISO также входят члены-корреспонденты (Correspondent member) – страны, не имеющие полноценных органов стандартизации, а также члены-подписчики (Subscriber member) – страны с небольшими экономиками, получающие необходимую справочную информацию на льготных условиях.</w:t>
      </w:r>
    </w:p>
    <w:p w14:paraId="66B0F3B7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 xml:space="preserve">Главным органом управления ИСО является ежегодная Генеральная Ассамблея, принимающая стратегические решения, касающиеся развития всей организации. Подготовкой материалов для принятия таких решений занимается Совет ИСО, собрания которого проходят два раза в год. Непосредственно разработкой стандартов занимаются технические комитеты и подкомитеты, в работе которых принимают участие представители заинтересованных стран. За разработку каждого документа в подкомитете отвечает специально создаваемая для этого рабочая группа. Проекты международных стандартов, принятые техническими комитетами, рассылаются в национальные организации для голосования; документ </w:t>
      </w:r>
      <w:r w:rsidRPr="008B6535">
        <w:rPr>
          <w:rFonts w:ascii="Times New Roman" w:hAnsi="Times New Roman"/>
          <w:sz w:val="28"/>
          <w:szCs w:val="28"/>
        </w:rPr>
        <w:lastRenderedPageBreak/>
        <w:t>приобретает статус международного стандарта, если за него проголосовало не менее 75% членов, участвовавших в голосовании.</w:t>
      </w:r>
    </w:p>
    <w:p w14:paraId="2D8290D8" w14:textId="77777777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Основным подразделением ИСО, занимающимся вопросами информационной безопасности, является Объединенный технический комитет JTC 1 "Информационные технологии", в состав которого входит подкомитет SC 27 "Средства безопасности в информационных технологиях" (IT Security techniques). За время своей работы этот подкомитет разработал более 60 международных стандартов, относящихся к информационной безопасности.</w:t>
      </w:r>
    </w:p>
    <w:p w14:paraId="04FB6E63" w14:textId="2239BA0B" w:rsidR="006023B8" w:rsidRPr="008B6535" w:rsidRDefault="006023B8" w:rsidP="008B6535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535">
        <w:rPr>
          <w:rFonts w:ascii="Times New Roman" w:hAnsi="Times New Roman"/>
          <w:sz w:val="28"/>
          <w:szCs w:val="28"/>
        </w:rPr>
        <w:t>С вопросами информационной безопасности также связана работа подкомитета SC 37 "Биометрическая идентификация" (Biometrics) и подкомитета SC 17 "Карточки и персональная идентификация" (Cards and personal identification).</w:t>
      </w:r>
    </w:p>
    <w:sectPr w:rsidR="006023B8" w:rsidRPr="008B6535" w:rsidSect="00C342EB">
      <w:headerReference w:type="default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664CC3" w14:textId="77777777" w:rsidR="00DF30A7" w:rsidRDefault="00DF30A7" w:rsidP="002C51D9">
      <w:r>
        <w:separator/>
      </w:r>
    </w:p>
  </w:endnote>
  <w:endnote w:type="continuationSeparator" w:id="0">
    <w:p w14:paraId="26EF3DF3" w14:textId="77777777" w:rsidR="00DF30A7" w:rsidRDefault="00DF30A7" w:rsidP="002C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6606313"/>
      <w:docPartObj>
        <w:docPartGallery w:val="Page Numbers (Bottom of Page)"/>
        <w:docPartUnique/>
      </w:docPartObj>
    </w:sdtPr>
    <w:sdtEndPr/>
    <w:sdtContent>
      <w:p w14:paraId="36B7D922" w14:textId="77777777" w:rsidR="002C51D9" w:rsidRPr="00000133" w:rsidRDefault="002E4F3E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013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013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0013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2FE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0013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611B6A2" w14:textId="77777777" w:rsidR="002C51D9" w:rsidRDefault="002C51D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75282" w14:textId="77777777" w:rsidR="00DF30A7" w:rsidRDefault="00DF30A7" w:rsidP="002C51D9">
      <w:r>
        <w:separator/>
      </w:r>
    </w:p>
  </w:footnote>
  <w:footnote w:type="continuationSeparator" w:id="0">
    <w:p w14:paraId="153C5519" w14:textId="77777777" w:rsidR="00DF30A7" w:rsidRDefault="00DF30A7" w:rsidP="002C51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31DBD" w14:textId="374DE75A" w:rsidR="00000133" w:rsidRPr="00000133" w:rsidRDefault="00000133" w:rsidP="005F12B0">
    <w:pPr>
      <w:spacing w:before="10"/>
      <w:ind w:left="19" w:right="18"/>
      <w:jc w:val="center"/>
      <w:rPr>
        <w:rFonts w:ascii="Times New Roman" w:hAnsi="Times New Roman" w:cs="Times New Roman"/>
        <w:sz w:val="24"/>
      </w:rPr>
    </w:pPr>
    <w:r w:rsidRPr="00000133">
      <w:rPr>
        <w:rFonts w:ascii="Times New Roman" w:hAnsi="Times New Roman" w:cs="Times New Roman"/>
        <w:sz w:val="24"/>
      </w:rPr>
      <w:t xml:space="preserve">Тема </w:t>
    </w:r>
    <w:r w:rsidR="000E2CA3">
      <w:rPr>
        <w:rFonts w:ascii="Times New Roman" w:hAnsi="Times New Roman" w:cs="Times New Roman"/>
        <w:sz w:val="24"/>
      </w:rPr>
      <w:t>3.1</w:t>
    </w:r>
    <w:r w:rsidRPr="00000133">
      <w:rPr>
        <w:rFonts w:ascii="Times New Roman" w:hAnsi="Times New Roman" w:cs="Times New Roman"/>
        <w:sz w:val="24"/>
      </w:rPr>
      <w:t xml:space="preserve"> – </w:t>
    </w:r>
    <w:r w:rsidR="008B6535">
      <w:rPr>
        <w:rFonts w:ascii="Times New Roman" w:hAnsi="Times New Roman" w:cs="Times New Roman"/>
        <w:sz w:val="24"/>
      </w:rPr>
      <w:t>Международные организации</w:t>
    </w:r>
    <w:r w:rsidRPr="00000133">
      <w:rPr>
        <w:rFonts w:ascii="Times New Roman" w:hAnsi="Times New Roman" w:cs="Times New Roman"/>
        <w:sz w:val="24"/>
      </w:rPr>
      <w:t xml:space="preserve"> </w:t>
    </w:r>
    <w:r w:rsidR="00D22FEF">
      <w:rPr>
        <w:rFonts w:ascii="Times New Roman" w:hAnsi="Times New Roman" w:cs="Times New Roman"/>
        <w:sz w:val="24"/>
      </w:rPr>
      <w:t xml:space="preserve">планирования и </w:t>
    </w:r>
    <w:r w:rsidRPr="00000133">
      <w:rPr>
        <w:rFonts w:ascii="Times New Roman" w:hAnsi="Times New Roman" w:cs="Times New Roman"/>
        <w:sz w:val="24"/>
      </w:rPr>
      <w:t xml:space="preserve">управления </w:t>
    </w:r>
    <w:r w:rsidR="005F12B0" w:rsidRPr="00000133">
      <w:rPr>
        <w:rFonts w:ascii="Times New Roman" w:hAnsi="Times New Roman" w:cs="Times New Roman"/>
        <w:sz w:val="24"/>
      </w:rPr>
      <w:t>информационной</w:t>
    </w:r>
    <w:r w:rsidR="005F12B0">
      <w:rPr>
        <w:rFonts w:ascii="Times New Roman" w:hAnsi="Times New Roman" w:cs="Times New Roman"/>
        <w:sz w:val="24"/>
      </w:rPr>
      <w:t xml:space="preserve"> безопасностью</w:t>
    </w:r>
  </w:p>
  <w:p w14:paraId="58E8B2E0" w14:textId="44266E98" w:rsidR="00000133" w:rsidRDefault="00000133" w:rsidP="00000133">
    <w:pPr>
      <w:spacing w:after="240"/>
      <w:ind w:left="19" w:right="16"/>
      <w:jc w:val="center"/>
      <w:rPr>
        <w:sz w:val="24"/>
      </w:rPr>
    </w:pPr>
    <w:r w:rsidRPr="00000133">
      <w:rPr>
        <w:rFonts w:ascii="Times New Roman" w:hAnsi="Times New Roman" w:cs="Times New Roman"/>
        <w:sz w:val="24"/>
      </w:rPr>
      <w:t>(</w:t>
    </w:r>
    <w:r w:rsidR="00D22FEF">
      <w:rPr>
        <w:rFonts w:ascii="Times New Roman" w:hAnsi="Times New Roman" w:cs="Times New Roman"/>
        <w:sz w:val="24"/>
      </w:rPr>
      <w:t>Планирование и у</w:t>
    </w:r>
    <w:r w:rsidRPr="00000133">
      <w:rPr>
        <w:rFonts w:ascii="Times New Roman" w:hAnsi="Times New Roman" w:cs="Times New Roman"/>
        <w:sz w:val="24"/>
      </w:rPr>
      <w:t>правление</w:t>
    </w:r>
    <w:r w:rsidRPr="00000133">
      <w:rPr>
        <w:rFonts w:ascii="Times New Roman" w:hAnsi="Times New Roman" w:cs="Times New Roman"/>
        <w:spacing w:val="-7"/>
        <w:sz w:val="24"/>
      </w:rPr>
      <w:t xml:space="preserve"> </w:t>
    </w:r>
    <w:r w:rsidRPr="00000133">
      <w:rPr>
        <w:rFonts w:ascii="Times New Roman" w:hAnsi="Times New Roman" w:cs="Times New Roman"/>
        <w:sz w:val="24"/>
      </w:rPr>
      <w:t>информационной</w:t>
    </w:r>
    <w:r w:rsidRPr="00000133">
      <w:rPr>
        <w:rFonts w:ascii="Times New Roman" w:hAnsi="Times New Roman" w:cs="Times New Roman"/>
        <w:spacing w:val="-5"/>
        <w:sz w:val="24"/>
      </w:rPr>
      <w:t xml:space="preserve"> </w:t>
    </w:r>
    <w:r w:rsidRPr="00000133">
      <w:rPr>
        <w:rFonts w:ascii="Times New Roman" w:hAnsi="Times New Roman" w:cs="Times New Roman"/>
        <w:sz w:val="24"/>
      </w:rPr>
      <w:t>безопасностью</w:t>
    </w:r>
    <w:r>
      <w:rPr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800D5"/>
    <w:multiLevelType w:val="multilevel"/>
    <w:tmpl w:val="24EAB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CC6A33"/>
    <w:multiLevelType w:val="hybridMultilevel"/>
    <w:tmpl w:val="F65019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C38BE"/>
    <w:multiLevelType w:val="hybridMultilevel"/>
    <w:tmpl w:val="3E2A3076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16DBE"/>
    <w:multiLevelType w:val="multilevel"/>
    <w:tmpl w:val="AF4C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4E6241"/>
    <w:multiLevelType w:val="hybridMultilevel"/>
    <w:tmpl w:val="57F4AAD6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8D4A86"/>
    <w:multiLevelType w:val="hybridMultilevel"/>
    <w:tmpl w:val="60949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21550"/>
    <w:multiLevelType w:val="hybridMultilevel"/>
    <w:tmpl w:val="BBA2DCE6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20E8B"/>
    <w:multiLevelType w:val="hybridMultilevel"/>
    <w:tmpl w:val="FBF2F548"/>
    <w:lvl w:ilvl="0" w:tplc="BA62B4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30051"/>
    <w:multiLevelType w:val="hybridMultilevel"/>
    <w:tmpl w:val="A16885C4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B08F3"/>
    <w:multiLevelType w:val="multilevel"/>
    <w:tmpl w:val="F7BA3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717F92"/>
    <w:multiLevelType w:val="hybridMultilevel"/>
    <w:tmpl w:val="B95EF5AA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FC6371"/>
    <w:multiLevelType w:val="hybridMultilevel"/>
    <w:tmpl w:val="5B94A3A0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231E6F6B"/>
    <w:multiLevelType w:val="hybridMultilevel"/>
    <w:tmpl w:val="601EED80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6471CB"/>
    <w:multiLevelType w:val="hybridMultilevel"/>
    <w:tmpl w:val="AB460E26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0C258A"/>
    <w:multiLevelType w:val="multilevel"/>
    <w:tmpl w:val="9BD6E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414B9F"/>
    <w:multiLevelType w:val="hybridMultilevel"/>
    <w:tmpl w:val="AA4CD4A2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956845"/>
    <w:multiLevelType w:val="hybridMultilevel"/>
    <w:tmpl w:val="BA2A5372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2FE52824"/>
    <w:multiLevelType w:val="multilevel"/>
    <w:tmpl w:val="2870C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C467AF"/>
    <w:multiLevelType w:val="multilevel"/>
    <w:tmpl w:val="03DEB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DD73BE"/>
    <w:multiLevelType w:val="multilevel"/>
    <w:tmpl w:val="FF3680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F1630C"/>
    <w:multiLevelType w:val="hybridMultilevel"/>
    <w:tmpl w:val="131A0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A14D23"/>
    <w:multiLevelType w:val="multilevel"/>
    <w:tmpl w:val="1506D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5204213"/>
    <w:multiLevelType w:val="multilevel"/>
    <w:tmpl w:val="08FC0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52043FC"/>
    <w:multiLevelType w:val="multilevel"/>
    <w:tmpl w:val="AB985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62F7320"/>
    <w:multiLevelType w:val="hybridMultilevel"/>
    <w:tmpl w:val="C5DC3542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FE7B4F"/>
    <w:multiLevelType w:val="hybridMultilevel"/>
    <w:tmpl w:val="B568DD00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186458"/>
    <w:multiLevelType w:val="hybridMultilevel"/>
    <w:tmpl w:val="9072F088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5F6314"/>
    <w:multiLevelType w:val="hybridMultilevel"/>
    <w:tmpl w:val="A6A8FB48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D81D81"/>
    <w:multiLevelType w:val="multilevel"/>
    <w:tmpl w:val="2042D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B1D1493"/>
    <w:multiLevelType w:val="multilevel"/>
    <w:tmpl w:val="FB6E2E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462DB0"/>
    <w:multiLevelType w:val="hybridMultilevel"/>
    <w:tmpl w:val="CBEEFC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FCA5B85"/>
    <w:multiLevelType w:val="multilevel"/>
    <w:tmpl w:val="9FBA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E5D03DE"/>
    <w:multiLevelType w:val="multilevel"/>
    <w:tmpl w:val="F0022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6D2E1A"/>
    <w:multiLevelType w:val="hybridMultilevel"/>
    <w:tmpl w:val="A2E0F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1F4DAD"/>
    <w:multiLevelType w:val="hybridMultilevel"/>
    <w:tmpl w:val="53BA6DD8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277770"/>
    <w:multiLevelType w:val="multilevel"/>
    <w:tmpl w:val="BBF2B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66E0DE0"/>
    <w:multiLevelType w:val="hybridMultilevel"/>
    <w:tmpl w:val="075C8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2F5612"/>
    <w:multiLevelType w:val="multilevel"/>
    <w:tmpl w:val="533C9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DFB3E0E"/>
    <w:multiLevelType w:val="hybridMultilevel"/>
    <w:tmpl w:val="D188F8F2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5250F9"/>
    <w:multiLevelType w:val="hybridMultilevel"/>
    <w:tmpl w:val="464E7878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79022B"/>
    <w:multiLevelType w:val="multilevel"/>
    <w:tmpl w:val="B942B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4BC4311"/>
    <w:multiLevelType w:val="multilevel"/>
    <w:tmpl w:val="62747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FE26E65"/>
    <w:multiLevelType w:val="hybridMultilevel"/>
    <w:tmpl w:val="ED00D802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CB0660"/>
    <w:multiLevelType w:val="hybridMultilevel"/>
    <w:tmpl w:val="6DB2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93497F"/>
    <w:multiLevelType w:val="hybridMultilevel"/>
    <w:tmpl w:val="8F149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62DDF"/>
    <w:multiLevelType w:val="multilevel"/>
    <w:tmpl w:val="F61E5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363EB1"/>
    <w:multiLevelType w:val="hybridMultilevel"/>
    <w:tmpl w:val="A71692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DA0C64"/>
    <w:multiLevelType w:val="hybridMultilevel"/>
    <w:tmpl w:val="0D2A7868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065F2"/>
    <w:multiLevelType w:val="hybridMultilevel"/>
    <w:tmpl w:val="71BE1C8C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0"/>
  </w:num>
  <w:num w:numId="3">
    <w:abstractNumId w:val="0"/>
  </w:num>
  <w:num w:numId="4">
    <w:abstractNumId w:val="17"/>
  </w:num>
  <w:num w:numId="5">
    <w:abstractNumId w:val="45"/>
  </w:num>
  <w:num w:numId="6">
    <w:abstractNumId w:val="18"/>
  </w:num>
  <w:num w:numId="7">
    <w:abstractNumId w:val="14"/>
  </w:num>
  <w:num w:numId="8">
    <w:abstractNumId w:val="3"/>
  </w:num>
  <w:num w:numId="9">
    <w:abstractNumId w:val="32"/>
  </w:num>
  <w:num w:numId="10">
    <w:abstractNumId w:val="41"/>
  </w:num>
  <w:num w:numId="11">
    <w:abstractNumId w:val="23"/>
  </w:num>
  <w:num w:numId="12">
    <w:abstractNumId w:val="9"/>
  </w:num>
  <w:num w:numId="13">
    <w:abstractNumId w:val="28"/>
  </w:num>
  <w:num w:numId="14">
    <w:abstractNumId w:val="31"/>
  </w:num>
  <w:num w:numId="15">
    <w:abstractNumId w:val="37"/>
  </w:num>
  <w:num w:numId="16">
    <w:abstractNumId w:val="21"/>
  </w:num>
  <w:num w:numId="17">
    <w:abstractNumId w:val="22"/>
  </w:num>
  <w:num w:numId="18">
    <w:abstractNumId w:val="35"/>
  </w:num>
  <w:num w:numId="19">
    <w:abstractNumId w:val="26"/>
  </w:num>
  <w:num w:numId="20">
    <w:abstractNumId w:val="2"/>
  </w:num>
  <w:num w:numId="21">
    <w:abstractNumId w:val="44"/>
  </w:num>
  <w:num w:numId="22">
    <w:abstractNumId w:val="33"/>
  </w:num>
  <w:num w:numId="23">
    <w:abstractNumId w:val="6"/>
  </w:num>
  <w:num w:numId="24">
    <w:abstractNumId w:val="38"/>
  </w:num>
  <w:num w:numId="25">
    <w:abstractNumId w:val="27"/>
  </w:num>
  <w:num w:numId="26">
    <w:abstractNumId w:val="12"/>
  </w:num>
  <w:num w:numId="27">
    <w:abstractNumId w:val="5"/>
  </w:num>
  <w:num w:numId="28">
    <w:abstractNumId w:val="4"/>
  </w:num>
  <w:num w:numId="29">
    <w:abstractNumId w:val="36"/>
  </w:num>
  <w:num w:numId="30">
    <w:abstractNumId w:val="48"/>
  </w:num>
  <w:num w:numId="31">
    <w:abstractNumId w:val="8"/>
  </w:num>
  <w:num w:numId="32">
    <w:abstractNumId w:val="39"/>
  </w:num>
  <w:num w:numId="33">
    <w:abstractNumId w:val="34"/>
  </w:num>
  <w:num w:numId="34">
    <w:abstractNumId w:val="13"/>
  </w:num>
  <w:num w:numId="35">
    <w:abstractNumId w:val="42"/>
  </w:num>
  <w:num w:numId="36">
    <w:abstractNumId w:val="25"/>
  </w:num>
  <w:num w:numId="37">
    <w:abstractNumId w:val="10"/>
  </w:num>
  <w:num w:numId="38">
    <w:abstractNumId w:val="20"/>
  </w:num>
  <w:num w:numId="39">
    <w:abstractNumId w:val="43"/>
  </w:num>
  <w:num w:numId="40">
    <w:abstractNumId w:val="24"/>
  </w:num>
  <w:num w:numId="41">
    <w:abstractNumId w:val="15"/>
  </w:num>
  <w:num w:numId="42">
    <w:abstractNumId w:val="47"/>
  </w:num>
  <w:num w:numId="43">
    <w:abstractNumId w:val="29"/>
  </w:num>
  <w:num w:numId="44">
    <w:abstractNumId w:val="16"/>
  </w:num>
  <w:num w:numId="45">
    <w:abstractNumId w:val="11"/>
  </w:num>
  <w:num w:numId="46">
    <w:abstractNumId w:val="19"/>
  </w:num>
  <w:num w:numId="47">
    <w:abstractNumId w:val="30"/>
  </w:num>
  <w:num w:numId="48">
    <w:abstractNumId w:val="1"/>
  </w:num>
  <w:num w:numId="49">
    <w:abstractNumId w:val="4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FC3"/>
    <w:rsid w:val="00000133"/>
    <w:rsid w:val="00036BDD"/>
    <w:rsid w:val="000555A6"/>
    <w:rsid w:val="00075CDB"/>
    <w:rsid w:val="000B13BC"/>
    <w:rsid w:val="000E2CA3"/>
    <w:rsid w:val="00181FC2"/>
    <w:rsid w:val="0018651B"/>
    <w:rsid w:val="001909B5"/>
    <w:rsid w:val="00200539"/>
    <w:rsid w:val="002368D9"/>
    <w:rsid w:val="002C51D9"/>
    <w:rsid w:val="002E4F3E"/>
    <w:rsid w:val="00397C36"/>
    <w:rsid w:val="003B2D0D"/>
    <w:rsid w:val="003B6961"/>
    <w:rsid w:val="003B7FDB"/>
    <w:rsid w:val="004A5DC4"/>
    <w:rsid w:val="004E63B2"/>
    <w:rsid w:val="00554A7B"/>
    <w:rsid w:val="00583754"/>
    <w:rsid w:val="0058691B"/>
    <w:rsid w:val="005F12B0"/>
    <w:rsid w:val="006023B8"/>
    <w:rsid w:val="0062455E"/>
    <w:rsid w:val="00651CFA"/>
    <w:rsid w:val="006C5A38"/>
    <w:rsid w:val="006E6192"/>
    <w:rsid w:val="00796C6B"/>
    <w:rsid w:val="007C56B5"/>
    <w:rsid w:val="007F48ED"/>
    <w:rsid w:val="008121BB"/>
    <w:rsid w:val="00834BBC"/>
    <w:rsid w:val="00835311"/>
    <w:rsid w:val="008B1A44"/>
    <w:rsid w:val="008B6535"/>
    <w:rsid w:val="008C23F4"/>
    <w:rsid w:val="008E5AC3"/>
    <w:rsid w:val="00953CF7"/>
    <w:rsid w:val="00962AD6"/>
    <w:rsid w:val="00987139"/>
    <w:rsid w:val="009B607A"/>
    <w:rsid w:val="009F7CD5"/>
    <w:rsid w:val="00A00A25"/>
    <w:rsid w:val="00A17D93"/>
    <w:rsid w:val="00A36B08"/>
    <w:rsid w:val="00A51A34"/>
    <w:rsid w:val="00AA75F1"/>
    <w:rsid w:val="00B165AF"/>
    <w:rsid w:val="00B46AAD"/>
    <w:rsid w:val="00B52B9E"/>
    <w:rsid w:val="00B7516C"/>
    <w:rsid w:val="00BA29DC"/>
    <w:rsid w:val="00BE66E7"/>
    <w:rsid w:val="00C16127"/>
    <w:rsid w:val="00C342EB"/>
    <w:rsid w:val="00C34CCF"/>
    <w:rsid w:val="00C5119B"/>
    <w:rsid w:val="00C51CE5"/>
    <w:rsid w:val="00C91C34"/>
    <w:rsid w:val="00D10627"/>
    <w:rsid w:val="00D136A4"/>
    <w:rsid w:val="00D22FEF"/>
    <w:rsid w:val="00D42FF0"/>
    <w:rsid w:val="00DC3AD0"/>
    <w:rsid w:val="00DC3FA4"/>
    <w:rsid w:val="00DD5F4C"/>
    <w:rsid w:val="00DE0551"/>
    <w:rsid w:val="00DE7459"/>
    <w:rsid w:val="00DF30A7"/>
    <w:rsid w:val="00E10BE1"/>
    <w:rsid w:val="00E12333"/>
    <w:rsid w:val="00E2339A"/>
    <w:rsid w:val="00E85A2A"/>
    <w:rsid w:val="00EC6EE8"/>
    <w:rsid w:val="00ED1EF0"/>
    <w:rsid w:val="00EF38C4"/>
    <w:rsid w:val="00F17FF1"/>
    <w:rsid w:val="00F246D3"/>
    <w:rsid w:val="00F845B4"/>
    <w:rsid w:val="00FA2FC3"/>
    <w:rsid w:val="00FA5AB5"/>
    <w:rsid w:val="00FB229F"/>
    <w:rsid w:val="00FE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2B827"/>
  <w15:docId w15:val="{6583B874-FCB7-423A-BE92-6082529A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6A4"/>
  </w:style>
  <w:style w:type="paragraph" w:styleId="2">
    <w:name w:val="heading 2"/>
    <w:basedOn w:val="a"/>
    <w:next w:val="a"/>
    <w:link w:val="20"/>
    <w:qFormat/>
    <w:rsid w:val="006023B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023B8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6023B8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7516C"/>
    <w:pPr>
      <w:shd w:val="clear" w:color="auto" w:fill="FFFFFF"/>
      <w:spacing w:line="240" w:lineRule="atLeast"/>
    </w:pPr>
    <w:rPr>
      <w:rFonts w:ascii="Times New Roman" w:eastAsia="Arial Unicode MS" w:hAnsi="Times New Roman" w:cs="Times New Roman"/>
      <w:sz w:val="19"/>
      <w:szCs w:val="19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B7516C"/>
    <w:rPr>
      <w:rFonts w:ascii="Times New Roman" w:eastAsia="Arial Unicode MS" w:hAnsi="Times New Roman" w:cs="Times New Roman"/>
      <w:sz w:val="19"/>
      <w:szCs w:val="19"/>
      <w:shd w:val="clear" w:color="auto" w:fill="FFFFFF"/>
      <w:lang w:eastAsia="ru-RU"/>
    </w:rPr>
  </w:style>
  <w:style w:type="paragraph" w:styleId="a5">
    <w:name w:val="Plain Text"/>
    <w:basedOn w:val="a"/>
    <w:link w:val="a6"/>
    <w:semiHidden/>
    <w:rsid w:val="00B7516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B7516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C51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51D9"/>
  </w:style>
  <w:style w:type="paragraph" w:styleId="a9">
    <w:name w:val="footer"/>
    <w:basedOn w:val="a"/>
    <w:link w:val="aa"/>
    <w:uiPriority w:val="99"/>
    <w:unhideWhenUsed/>
    <w:rsid w:val="002C51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51D9"/>
  </w:style>
  <w:style w:type="paragraph" w:styleId="ab">
    <w:name w:val="List Paragraph"/>
    <w:basedOn w:val="a"/>
    <w:uiPriority w:val="34"/>
    <w:qFormat/>
    <w:rsid w:val="00B52B9E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023B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023B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Hyperlink"/>
    <w:basedOn w:val="a0"/>
    <w:rsid w:val="006023B8"/>
    <w:rPr>
      <w:color w:val="0000FF"/>
      <w:u w:val="single"/>
    </w:rPr>
  </w:style>
  <w:style w:type="paragraph" w:styleId="ad">
    <w:name w:val="Normal (Web)"/>
    <w:basedOn w:val="a"/>
    <w:rsid w:val="006023B8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23B8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m.org/sigs/sigsac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eee-security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3225</Words>
  <Characters>18384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Южный Федеральный Университет</Company>
  <LinksUpToDate>false</LinksUpToDate>
  <CharactersWithSpaces>21566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Газизов Андрей Равильевич</dc:creator>
  <cp:lastModifiedBy>Андрей</cp:lastModifiedBy>
  <cp:revision>9</cp:revision>
  <cp:lastPrinted>2021-12-28T15:19:00Z</cp:lastPrinted>
  <dcterms:created xsi:type="dcterms:W3CDTF">2021-12-22T09:40:00Z</dcterms:created>
  <dcterms:modified xsi:type="dcterms:W3CDTF">2021-12-28T15:19:00Z</dcterms:modified>
</cp:coreProperties>
</file>